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9B1D08" w14:textId="00D3F80A" w:rsidR="00473774" w:rsidRPr="00D84791" w:rsidRDefault="232FB2FD" w:rsidP="00E12360">
      <w:pPr>
        <w:pStyle w:val="Pealkiri2"/>
        <w:spacing w:line="276" w:lineRule="auto"/>
      </w:pPr>
      <w:r>
        <w:t>Väikehanke</w:t>
      </w:r>
      <w:r w:rsidR="00473774">
        <w:t xml:space="preserve"> „</w:t>
      </w:r>
      <w:bookmarkStart w:id="0" w:name="_Hlk188981089"/>
      <w:r w:rsidR="00473774">
        <w:t>Tarbijakaitse ja Tehnilise Järelevalve Ameti 202</w:t>
      </w:r>
      <w:r w:rsidR="00FD0073">
        <w:t>6</w:t>
      </w:r>
      <w:r w:rsidR="00473774">
        <w:t>. aasta tarbijahariduse kampaania</w:t>
      </w:r>
      <w:bookmarkEnd w:id="0"/>
      <w:r w:rsidR="00473774">
        <w:t>“ pakkumuse kutse</w:t>
      </w:r>
    </w:p>
    <w:p w14:paraId="7F965A12" w14:textId="17E63677" w:rsidR="00FD0073"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b/>
          <w:bCs/>
          <w:sz w:val="24"/>
          <w:szCs w:val="24"/>
        </w:rPr>
        <w:t>Töö sisu:</w:t>
      </w:r>
      <w:r w:rsidRPr="00D84791">
        <w:rPr>
          <w:rFonts w:ascii="Times New Roman" w:hAnsi="Times New Roman" w:cs="Times New Roman"/>
          <w:sz w:val="24"/>
          <w:szCs w:val="24"/>
        </w:rPr>
        <w:t xml:space="preserve"> Pakkuja</w:t>
      </w:r>
      <w:r w:rsidR="00101406" w:rsidRPr="00D84791">
        <w:rPr>
          <w:rFonts w:ascii="Times New Roman" w:hAnsi="Times New Roman" w:cs="Times New Roman"/>
          <w:sz w:val="24"/>
          <w:szCs w:val="24"/>
        </w:rPr>
        <w:t xml:space="preserve"> </w:t>
      </w:r>
      <w:r w:rsidRPr="00D84791">
        <w:rPr>
          <w:rFonts w:ascii="Times New Roman" w:hAnsi="Times New Roman" w:cs="Times New Roman"/>
          <w:sz w:val="24"/>
          <w:szCs w:val="24"/>
        </w:rPr>
        <w:t xml:space="preserve">loob kampaania </w:t>
      </w:r>
      <w:r w:rsidR="00FD0073" w:rsidRPr="00D84791">
        <w:rPr>
          <w:rFonts w:ascii="Times New Roman" w:hAnsi="Times New Roman" w:cs="Times New Roman"/>
          <w:sz w:val="24"/>
          <w:szCs w:val="24"/>
        </w:rPr>
        <w:t>tervik</w:t>
      </w:r>
      <w:r w:rsidRPr="00D84791">
        <w:rPr>
          <w:rFonts w:ascii="Times New Roman" w:hAnsi="Times New Roman" w:cs="Times New Roman"/>
          <w:sz w:val="24"/>
          <w:szCs w:val="24"/>
        </w:rPr>
        <w:t xml:space="preserve">kontseptsiooni, </w:t>
      </w:r>
      <w:r w:rsidR="00FD0073" w:rsidRPr="00D84791">
        <w:rPr>
          <w:rFonts w:ascii="Times New Roman" w:hAnsi="Times New Roman" w:cs="Times New Roman"/>
          <w:sz w:val="24"/>
          <w:szCs w:val="24"/>
        </w:rPr>
        <w:t xml:space="preserve">mille eesmärk </w:t>
      </w:r>
      <w:r w:rsidRPr="00D84791">
        <w:rPr>
          <w:rFonts w:ascii="Times New Roman" w:hAnsi="Times New Roman" w:cs="Times New Roman"/>
          <w:sz w:val="24"/>
          <w:szCs w:val="24"/>
        </w:rPr>
        <w:t xml:space="preserve">on </w:t>
      </w:r>
      <w:r w:rsidR="00FD0073" w:rsidRPr="00D84791">
        <w:rPr>
          <w:rFonts w:ascii="Times New Roman" w:hAnsi="Times New Roman" w:cs="Times New Roman"/>
          <w:sz w:val="24"/>
          <w:szCs w:val="24"/>
        </w:rPr>
        <w:t xml:space="preserve">tõsta teadlikkust </w:t>
      </w:r>
      <w:r w:rsidR="00FD0073" w:rsidRPr="00D84791">
        <w:rPr>
          <w:rFonts w:ascii="Times New Roman" w:hAnsi="Times New Roman" w:cs="Times New Roman"/>
          <w:b/>
          <w:bCs/>
          <w:sz w:val="24"/>
          <w:szCs w:val="24"/>
        </w:rPr>
        <w:t>mustast nimekirjast</w:t>
      </w:r>
      <w:r w:rsidR="00FD0073" w:rsidRPr="00D84791">
        <w:rPr>
          <w:rFonts w:ascii="Times New Roman" w:hAnsi="Times New Roman" w:cs="Times New Roman"/>
          <w:sz w:val="24"/>
          <w:szCs w:val="24"/>
        </w:rPr>
        <w:t>, kuhu kuuluvad tarbijavaidluste komisjoni otsuse täitmata jätnud ettevõtted</w:t>
      </w:r>
      <w:r w:rsidRPr="00D84791">
        <w:rPr>
          <w:rFonts w:ascii="Times New Roman" w:hAnsi="Times New Roman" w:cs="Times New Roman"/>
          <w:sz w:val="24"/>
          <w:szCs w:val="24"/>
        </w:rPr>
        <w:t>.</w:t>
      </w:r>
    </w:p>
    <w:p w14:paraId="0AD355F7" w14:textId="7DE0A45D" w:rsidR="001C6919" w:rsidRPr="00D84791" w:rsidRDefault="00473774" w:rsidP="00E12360">
      <w:pPr>
        <w:spacing w:line="276" w:lineRule="auto"/>
        <w:jc w:val="both"/>
        <w:rPr>
          <w:rFonts w:ascii="Times New Roman" w:hAnsi="Times New Roman" w:cs="Times New Roman"/>
          <w:sz w:val="24"/>
          <w:szCs w:val="24"/>
        </w:rPr>
      </w:pPr>
      <w:r w:rsidRPr="31262270">
        <w:rPr>
          <w:rFonts w:ascii="Times New Roman" w:hAnsi="Times New Roman" w:cs="Times New Roman"/>
          <w:sz w:val="24"/>
          <w:szCs w:val="24"/>
        </w:rPr>
        <w:t xml:space="preserve">Kampaania elluviimiseks </w:t>
      </w:r>
      <w:r w:rsidR="002B1277">
        <w:rPr>
          <w:rFonts w:ascii="Times New Roman" w:hAnsi="Times New Roman" w:cs="Times New Roman"/>
          <w:sz w:val="24"/>
          <w:szCs w:val="24"/>
        </w:rPr>
        <w:t>luuakse</w:t>
      </w:r>
      <w:r w:rsidR="001C6919" w:rsidRPr="31262270">
        <w:rPr>
          <w:rFonts w:ascii="Times New Roman" w:hAnsi="Times New Roman" w:cs="Times New Roman"/>
          <w:sz w:val="24"/>
          <w:szCs w:val="24"/>
        </w:rPr>
        <w:t>:</w:t>
      </w:r>
    </w:p>
    <w:p w14:paraId="18C49117" w14:textId="281ECFCF" w:rsidR="001C6919" w:rsidRPr="00EE3B47" w:rsidRDefault="00473774" w:rsidP="00117DBF">
      <w:pPr>
        <w:pStyle w:val="Loendilik"/>
        <w:numPr>
          <w:ilvl w:val="0"/>
          <w:numId w:val="19"/>
        </w:numPr>
        <w:spacing w:line="276" w:lineRule="auto"/>
        <w:jc w:val="both"/>
        <w:rPr>
          <w:rFonts w:ascii="Times New Roman" w:hAnsi="Times New Roman" w:cs="Times New Roman"/>
          <w:sz w:val="24"/>
          <w:szCs w:val="24"/>
        </w:rPr>
      </w:pPr>
      <w:r w:rsidRPr="006C472E">
        <w:rPr>
          <w:rFonts w:ascii="Times New Roman" w:hAnsi="Times New Roman" w:cs="Times New Roman"/>
          <w:b/>
          <w:bCs/>
          <w:sz w:val="24"/>
          <w:szCs w:val="24"/>
        </w:rPr>
        <w:t>sisu ja materjalid</w:t>
      </w:r>
      <w:r w:rsidRPr="006C472E">
        <w:rPr>
          <w:rFonts w:ascii="Times New Roman" w:hAnsi="Times New Roman" w:cs="Times New Roman"/>
          <w:sz w:val="24"/>
          <w:szCs w:val="24"/>
        </w:rPr>
        <w:t xml:space="preserve">, arvestades sihtgrupi harjumusi erinevate platvormide kasutamisel. </w:t>
      </w:r>
      <w:r w:rsidR="002B1277">
        <w:rPr>
          <w:rFonts w:ascii="Times New Roman" w:hAnsi="Times New Roman" w:cs="Times New Roman"/>
          <w:sz w:val="24"/>
          <w:szCs w:val="24"/>
        </w:rPr>
        <w:t>Hanke võitja</w:t>
      </w:r>
      <w:r w:rsidR="002B1277" w:rsidRPr="006C472E">
        <w:rPr>
          <w:rFonts w:ascii="Times New Roman" w:hAnsi="Times New Roman" w:cs="Times New Roman"/>
          <w:sz w:val="24"/>
          <w:szCs w:val="24"/>
        </w:rPr>
        <w:t xml:space="preserve"> </w:t>
      </w:r>
      <w:r w:rsidRPr="006C472E">
        <w:rPr>
          <w:rFonts w:ascii="Times New Roman" w:hAnsi="Times New Roman" w:cs="Times New Roman"/>
          <w:sz w:val="24"/>
          <w:szCs w:val="24"/>
        </w:rPr>
        <w:t xml:space="preserve">annab </w:t>
      </w:r>
      <w:r w:rsidR="1003FBD5" w:rsidRPr="31262270">
        <w:rPr>
          <w:rFonts w:ascii="Times New Roman" w:hAnsi="Times New Roman" w:cs="Times New Roman"/>
          <w:sz w:val="24"/>
          <w:szCs w:val="24"/>
        </w:rPr>
        <w:t>Tarbijakaitse ja Tehnilise Järelevalve Ametile (edaspidi TTJA)</w:t>
      </w:r>
      <w:r w:rsidRPr="00EE3B47">
        <w:rPr>
          <w:rFonts w:ascii="Times New Roman" w:hAnsi="Times New Roman" w:cs="Times New Roman"/>
          <w:sz w:val="24"/>
          <w:szCs w:val="24"/>
        </w:rPr>
        <w:t xml:space="preserve"> üle materjalid koos nende tähtajatu kasutusõigusega</w:t>
      </w:r>
      <w:r w:rsidR="006F393D" w:rsidRPr="00EE3B47">
        <w:rPr>
          <w:rFonts w:ascii="Times New Roman" w:hAnsi="Times New Roman" w:cs="Times New Roman"/>
          <w:sz w:val="24"/>
          <w:szCs w:val="24"/>
        </w:rPr>
        <w:t>; ja</w:t>
      </w:r>
    </w:p>
    <w:p w14:paraId="0899D25C" w14:textId="186BE3E9" w:rsidR="001C6919" w:rsidRPr="00D84791" w:rsidRDefault="00CD29DB" w:rsidP="00E12360">
      <w:pPr>
        <w:pStyle w:val="Loendilik"/>
        <w:numPr>
          <w:ilvl w:val="0"/>
          <w:numId w:val="19"/>
        </w:numPr>
        <w:spacing w:line="276" w:lineRule="auto"/>
        <w:jc w:val="both"/>
        <w:rPr>
          <w:rFonts w:ascii="Times New Roman" w:hAnsi="Times New Roman" w:cs="Times New Roman"/>
          <w:sz w:val="24"/>
          <w:szCs w:val="24"/>
        </w:rPr>
      </w:pPr>
      <w:r w:rsidRPr="31262270">
        <w:rPr>
          <w:rFonts w:ascii="Times New Roman" w:hAnsi="Times New Roman" w:cs="Times New Roman"/>
          <w:b/>
          <w:bCs/>
          <w:sz w:val="24"/>
          <w:szCs w:val="24"/>
        </w:rPr>
        <w:t>m</w:t>
      </w:r>
      <w:r w:rsidR="001C6919" w:rsidRPr="31262270">
        <w:rPr>
          <w:rFonts w:ascii="Times New Roman" w:hAnsi="Times New Roman" w:cs="Times New Roman"/>
          <w:b/>
          <w:bCs/>
          <w:sz w:val="24"/>
          <w:szCs w:val="24"/>
        </w:rPr>
        <w:t>eediastrateegia</w:t>
      </w:r>
      <w:r w:rsidRPr="31262270">
        <w:rPr>
          <w:rFonts w:ascii="Times New Roman" w:hAnsi="Times New Roman" w:cs="Times New Roman"/>
          <w:b/>
          <w:bCs/>
          <w:sz w:val="24"/>
          <w:szCs w:val="24"/>
        </w:rPr>
        <w:t xml:space="preserve"> ja kampaaniaplaani</w:t>
      </w:r>
      <w:r w:rsidR="001C6919" w:rsidRPr="31262270">
        <w:rPr>
          <w:rFonts w:ascii="Times New Roman" w:hAnsi="Times New Roman" w:cs="Times New Roman"/>
          <w:sz w:val="24"/>
          <w:szCs w:val="24"/>
        </w:rPr>
        <w:t xml:space="preserve">, mis aitab saavutada teavituskampaania materjalide levitamisel võimalikult laia katvuse ja nähtavuse sihtrühmas. Tulemusena on </w:t>
      </w:r>
      <w:r w:rsidR="002B1277">
        <w:rPr>
          <w:rFonts w:ascii="Times New Roman" w:eastAsia="Times New Roman" w:hAnsi="Times New Roman" w:cs="Times New Roman"/>
          <w:sz w:val="24"/>
          <w:szCs w:val="24"/>
        </w:rPr>
        <w:t>hanke võitja</w:t>
      </w:r>
      <w:r w:rsidR="002B1277" w:rsidRPr="31262270">
        <w:rPr>
          <w:rFonts w:ascii="Times New Roman" w:eastAsia="Times New Roman" w:hAnsi="Times New Roman" w:cs="Times New Roman"/>
          <w:sz w:val="24"/>
          <w:szCs w:val="24"/>
        </w:rPr>
        <w:t xml:space="preserve"> </w:t>
      </w:r>
      <w:r w:rsidR="001C6919" w:rsidRPr="31262270">
        <w:rPr>
          <w:rFonts w:ascii="Times New Roman" w:eastAsia="Times New Roman" w:hAnsi="Times New Roman" w:cs="Times New Roman"/>
          <w:sz w:val="24"/>
          <w:szCs w:val="24"/>
        </w:rPr>
        <w:t xml:space="preserve">meediapindade planeerimisel, broneerimisel ja vahendamisel </w:t>
      </w:r>
      <w:r w:rsidR="001C6919" w:rsidRPr="00EE3B47">
        <w:rPr>
          <w:rFonts w:ascii="Times New Roman" w:eastAsia="Times New Roman" w:hAnsi="Times New Roman" w:cs="Times New Roman"/>
          <w:b/>
          <w:bCs/>
          <w:sz w:val="24"/>
          <w:szCs w:val="24"/>
        </w:rPr>
        <w:t xml:space="preserve">täitnud kampaania levitamisele </w:t>
      </w:r>
      <w:r w:rsidR="001C6919" w:rsidRPr="31262270">
        <w:rPr>
          <w:rFonts w:ascii="Times New Roman" w:eastAsia="Times New Roman" w:hAnsi="Times New Roman" w:cs="Times New Roman"/>
          <w:sz w:val="24"/>
          <w:szCs w:val="24"/>
        </w:rPr>
        <w:t>seatud eesmärgid.</w:t>
      </w:r>
    </w:p>
    <w:p w14:paraId="49B59BAA" w14:textId="33F61CB0"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Töö tulemuseks on tarbijate teadlikkuse kasv </w:t>
      </w:r>
      <w:r w:rsidR="000D57E8">
        <w:rPr>
          <w:rFonts w:ascii="Times New Roman" w:hAnsi="Times New Roman" w:cs="Times New Roman"/>
          <w:sz w:val="24"/>
          <w:szCs w:val="24"/>
        </w:rPr>
        <w:t>pakku</w:t>
      </w:r>
      <w:r w:rsidR="005227FC">
        <w:rPr>
          <w:rFonts w:ascii="Times New Roman" w:hAnsi="Times New Roman" w:cs="Times New Roman"/>
          <w:sz w:val="24"/>
          <w:szCs w:val="24"/>
        </w:rPr>
        <w:t xml:space="preserve">muse kutse </w:t>
      </w:r>
      <w:r w:rsidRPr="00D84791">
        <w:rPr>
          <w:rFonts w:ascii="Times New Roman" w:hAnsi="Times New Roman" w:cs="Times New Roman"/>
          <w:sz w:val="24"/>
          <w:szCs w:val="24"/>
        </w:rPr>
        <w:t>punktis 2 välja toodud teemal.</w:t>
      </w:r>
    </w:p>
    <w:p w14:paraId="5721A7D7" w14:textId="4CF0ADCD"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Pakkumusele esitatavad nõuded sisalduvad pakkumuse kutse punktis </w:t>
      </w:r>
      <w:r w:rsidR="00D70E2F" w:rsidRPr="00D84791">
        <w:rPr>
          <w:rFonts w:ascii="Times New Roman" w:hAnsi="Times New Roman" w:cs="Times New Roman"/>
          <w:sz w:val="24"/>
          <w:szCs w:val="24"/>
        </w:rPr>
        <w:t>5</w:t>
      </w:r>
      <w:r w:rsidRPr="00D84791">
        <w:rPr>
          <w:rFonts w:ascii="Times New Roman" w:hAnsi="Times New Roman" w:cs="Times New Roman"/>
          <w:sz w:val="24"/>
          <w:szCs w:val="24"/>
        </w:rPr>
        <w:t>.</w:t>
      </w:r>
    </w:p>
    <w:p w14:paraId="4130D034" w14:textId="77777777" w:rsidR="00473774" w:rsidRPr="00115D27" w:rsidRDefault="00473774" w:rsidP="00E12360">
      <w:pPr>
        <w:pStyle w:val="Pealkiri3"/>
        <w:spacing w:line="276" w:lineRule="auto"/>
        <w:rPr>
          <w:b/>
          <w:bCs/>
        </w:rPr>
      </w:pPr>
      <w:r w:rsidRPr="00115D27">
        <w:rPr>
          <w:b/>
          <w:bCs/>
        </w:rPr>
        <w:t>Taustainfo</w:t>
      </w:r>
    </w:p>
    <w:p w14:paraId="21239183" w14:textId="46F63A55" w:rsidR="00983BF6" w:rsidRPr="00D84791" w:rsidRDefault="00473774" w:rsidP="00E12360">
      <w:pPr>
        <w:spacing w:line="276" w:lineRule="auto"/>
        <w:jc w:val="both"/>
        <w:rPr>
          <w:rFonts w:ascii="Times New Roman" w:hAnsi="Times New Roman" w:cs="Times New Roman"/>
          <w:sz w:val="24"/>
          <w:szCs w:val="24"/>
        </w:rPr>
      </w:pPr>
      <w:r w:rsidRPr="31262270">
        <w:rPr>
          <w:rFonts w:ascii="Times New Roman" w:hAnsi="Times New Roman" w:cs="Times New Roman"/>
          <w:sz w:val="24"/>
          <w:szCs w:val="24"/>
        </w:rPr>
        <w:t xml:space="preserve">TTJA juures tegutseb sõltumatu ning erapooletu </w:t>
      </w:r>
      <w:r w:rsidRPr="31262270">
        <w:rPr>
          <w:rFonts w:ascii="Times New Roman" w:hAnsi="Times New Roman" w:cs="Times New Roman"/>
          <w:b/>
          <w:bCs/>
          <w:sz w:val="24"/>
          <w:szCs w:val="24"/>
        </w:rPr>
        <w:t>tarbijavaidluste komisjon</w:t>
      </w:r>
      <w:r w:rsidRPr="31262270">
        <w:rPr>
          <w:rFonts w:ascii="Times New Roman" w:hAnsi="Times New Roman" w:cs="Times New Roman"/>
          <w:sz w:val="24"/>
          <w:szCs w:val="24"/>
        </w:rPr>
        <w:t xml:space="preserve"> (edaspidi TVK), kuhu inimesed pöörduvad oma õiguste kaitseks. </w:t>
      </w:r>
      <w:r w:rsidR="00542A88" w:rsidRPr="31262270">
        <w:rPr>
          <w:rFonts w:ascii="Times New Roman" w:hAnsi="Times New Roman" w:cs="Times New Roman"/>
          <w:sz w:val="24"/>
          <w:szCs w:val="24"/>
        </w:rPr>
        <w:t>TVK</w:t>
      </w:r>
      <w:r w:rsidRPr="31262270">
        <w:rPr>
          <w:rFonts w:ascii="Times New Roman" w:hAnsi="Times New Roman" w:cs="Times New Roman"/>
          <w:sz w:val="24"/>
          <w:szCs w:val="24"/>
        </w:rPr>
        <w:t xml:space="preserve"> pädevuses on lahendada tarbija ja kaupleja vahelisest lepingust tulenevaid tarbija algatatud tarbijavaidlusi. TVK-sse saavad pöörduda kõik tarbijad, kellel on kaebus Eestis registreeritud kaupleja vastu. </w:t>
      </w:r>
    </w:p>
    <w:p w14:paraId="08B0205A" w14:textId="78D9F3AE" w:rsidR="00473774" w:rsidRPr="00D84791" w:rsidRDefault="00983BF6"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Komisjon lahendab tulemuslikult vaidlused kauplejatega, kes hoolivad </w:t>
      </w:r>
      <w:r w:rsidR="009D683D" w:rsidRPr="00D84791">
        <w:rPr>
          <w:rFonts w:ascii="Times New Roman" w:hAnsi="Times New Roman" w:cs="Times New Roman"/>
          <w:sz w:val="24"/>
          <w:szCs w:val="24"/>
        </w:rPr>
        <w:t xml:space="preserve">tarbijaõigustest ja </w:t>
      </w:r>
      <w:r w:rsidRPr="00D84791">
        <w:rPr>
          <w:rFonts w:ascii="Times New Roman" w:hAnsi="Times New Roman" w:cs="Times New Roman"/>
          <w:sz w:val="24"/>
          <w:szCs w:val="24"/>
        </w:rPr>
        <w:t xml:space="preserve">oma mainest, on maksevõimelised </w:t>
      </w:r>
      <w:r w:rsidR="009D683D" w:rsidRPr="00D84791">
        <w:rPr>
          <w:rFonts w:ascii="Times New Roman" w:hAnsi="Times New Roman" w:cs="Times New Roman"/>
          <w:sz w:val="24"/>
          <w:szCs w:val="24"/>
        </w:rPr>
        <w:t>ning</w:t>
      </w:r>
      <w:r w:rsidRPr="00D84791">
        <w:rPr>
          <w:rFonts w:ascii="Times New Roman" w:hAnsi="Times New Roman" w:cs="Times New Roman"/>
          <w:sz w:val="24"/>
          <w:szCs w:val="24"/>
        </w:rPr>
        <w:t xml:space="preserve"> ei soovi sattuda </w:t>
      </w:r>
      <w:r w:rsidR="00473774" w:rsidRPr="00D84791">
        <w:rPr>
          <w:rFonts w:ascii="Times New Roman" w:hAnsi="Times New Roman" w:cs="Times New Roman"/>
          <w:sz w:val="24"/>
          <w:szCs w:val="24"/>
        </w:rPr>
        <w:t>TVK otsuseid mittetäitnud ettevõt</w:t>
      </w:r>
      <w:r w:rsidR="009D683D" w:rsidRPr="00D84791">
        <w:rPr>
          <w:rFonts w:ascii="Times New Roman" w:hAnsi="Times New Roman" w:cs="Times New Roman"/>
          <w:sz w:val="24"/>
          <w:szCs w:val="24"/>
        </w:rPr>
        <w:t>ete nimekirja ehk nn</w:t>
      </w:r>
      <w:r w:rsidR="00473774" w:rsidRPr="00D84791">
        <w:rPr>
          <w:rFonts w:ascii="Times New Roman" w:hAnsi="Times New Roman" w:cs="Times New Roman"/>
          <w:sz w:val="24"/>
          <w:szCs w:val="24"/>
        </w:rPr>
        <w:t xml:space="preserve"> „</w:t>
      </w:r>
      <w:hyperlink r:id="rId8" w:history="1">
        <w:r w:rsidR="00473774" w:rsidRPr="00D84791">
          <w:rPr>
            <w:rStyle w:val="Hperlink"/>
            <w:rFonts w:ascii="Times New Roman" w:hAnsi="Times New Roman" w:cs="Times New Roman"/>
            <w:sz w:val="24"/>
            <w:szCs w:val="24"/>
          </w:rPr>
          <w:t>musta nimekirja</w:t>
        </w:r>
      </w:hyperlink>
      <w:r w:rsidR="00473774" w:rsidRPr="00D84791">
        <w:rPr>
          <w:rFonts w:ascii="Times New Roman" w:hAnsi="Times New Roman" w:cs="Times New Roman"/>
          <w:sz w:val="24"/>
          <w:szCs w:val="24"/>
        </w:rPr>
        <w:t xml:space="preserve">“, mis on avaldatud </w:t>
      </w:r>
      <w:hyperlink r:id="rId9" w:history="1">
        <w:r w:rsidR="00473774" w:rsidRPr="00D84791">
          <w:rPr>
            <w:rStyle w:val="Hperlink"/>
            <w:rFonts w:ascii="Times New Roman" w:hAnsi="Times New Roman" w:cs="Times New Roman"/>
            <w:sz w:val="24"/>
            <w:szCs w:val="24"/>
          </w:rPr>
          <w:t>TTJA veebilehel</w:t>
        </w:r>
      </w:hyperlink>
      <w:r w:rsidR="00473774" w:rsidRPr="00D84791">
        <w:rPr>
          <w:rFonts w:ascii="Times New Roman" w:hAnsi="Times New Roman" w:cs="Times New Roman"/>
          <w:sz w:val="24"/>
          <w:szCs w:val="24"/>
        </w:rPr>
        <w:t>.</w:t>
      </w:r>
    </w:p>
    <w:p w14:paraId="28A81E6A" w14:textId="7DF5EC2D" w:rsidR="009F3E4C" w:rsidRPr="00D84791" w:rsidRDefault="009F3E4C" w:rsidP="00E12360">
      <w:pPr>
        <w:spacing w:line="276" w:lineRule="auto"/>
        <w:jc w:val="both"/>
        <w:rPr>
          <w:rFonts w:ascii="Times New Roman" w:hAnsi="Times New Roman" w:cs="Times New Roman"/>
          <w:sz w:val="24"/>
          <w:szCs w:val="24"/>
        </w:rPr>
      </w:pPr>
      <w:r w:rsidRPr="00CA37F7">
        <w:rPr>
          <w:rFonts w:ascii="Times New Roman" w:hAnsi="Times New Roman" w:cs="Times New Roman"/>
          <w:b/>
          <w:bCs/>
          <w:sz w:val="24"/>
          <w:szCs w:val="24"/>
        </w:rPr>
        <w:t>Must nimekiri</w:t>
      </w:r>
      <w:r w:rsidRPr="00D84791">
        <w:rPr>
          <w:rFonts w:ascii="Times New Roman" w:hAnsi="Times New Roman" w:cs="Times New Roman"/>
          <w:sz w:val="24"/>
          <w:szCs w:val="24"/>
        </w:rPr>
        <w:t xml:space="preserve"> on nimekiri tarbija õigusi rikkuvatest kauplejatest, kes ei ole järginud </w:t>
      </w:r>
      <w:r w:rsidR="00542A88">
        <w:rPr>
          <w:rFonts w:ascii="Times New Roman" w:hAnsi="Times New Roman" w:cs="Times New Roman"/>
          <w:sz w:val="24"/>
          <w:szCs w:val="24"/>
        </w:rPr>
        <w:t>TVK</w:t>
      </w:r>
      <w:r w:rsidRPr="00D84791">
        <w:rPr>
          <w:rFonts w:ascii="Times New Roman" w:hAnsi="Times New Roman" w:cs="Times New Roman"/>
          <w:sz w:val="24"/>
          <w:szCs w:val="24"/>
        </w:rPr>
        <w:t xml:space="preserve"> otsust ega ole teavitanud </w:t>
      </w:r>
      <w:r w:rsidR="00542A88">
        <w:rPr>
          <w:rFonts w:ascii="Times New Roman" w:hAnsi="Times New Roman" w:cs="Times New Roman"/>
          <w:sz w:val="24"/>
          <w:szCs w:val="24"/>
        </w:rPr>
        <w:t>TTJA-d</w:t>
      </w:r>
      <w:r w:rsidRPr="00D84791">
        <w:rPr>
          <w:rFonts w:ascii="Times New Roman" w:hAnsi="Times New Roman" w:cs="Times New Roman"/>
          <w:sz w:val="24"/>
          <w:szCs w:val="24"/>
        </w:rPr>
        <w:t xml:space="preserve"> kirjalikult otsuse täitmisest või maakohtusse pöördumisest. Kauplejad kantakse komisjoni otsuseid mittejärginud kauplejate nimekirja kuni otsuse täitmiseni, kuid mitte kauemaks kui 12 kuuks.</w:t>
      </w:r>
    </w:p>
    <w:p w14:paraId="75BA5E0C" w14:textId="63A36EDC" w:rsidR="00025A23" w:rsidRPr="00D84791" w:rsidRDefault="00025A23"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Eesti Konjunktuuriinstituut viis 2025. aasta suvel läbi uuringu „</w:t>
      </w:r>
      <w:hyperlink r:id="rId10" w:anchor="tarbijate-hoiakud-ja" w:history="1">
        <w:r w:rsidRPr="00D84791">
          <w:rPr>
            <w:rStyle w:val="Hperlink"/>
            <w:rFonts w:ascii="Times New Roman" w:hAnsi="Times New Roman" w:cs="Times New Roman"/>
            <w:sz w:val="24"/>
            <w:szCs w:val="24"/>
          </w:rPr>
          <w:t>Tarbijate hoiakud ja teadlikkus tarbija õigustest Eestis</w:t>
        </w:r>
      </w:hyperlink>
      <w:r w:rsidRPr="00D84791">
        <w:rPr>
          <w:rFonts w:ascii="Times New Roman" w:hAnsi="Times New Roman" w:cs="Times New Roman"/>
          <w:sz w:val="24"/>
          <w:szCs w:val="24"/>
        </w:rPr>
        <w:t>“, millest muuhulgas selgus, et:</w:t>
      </w:r>
    </w:p>
    <w:p w14:paraId="09D7F538" w14:textId="5A6CE0F2" w:rsidR="00025A23" w:rsidRPr="00D84791" w:rsidRDefault="00025A23" w:rsidP="00E12360">
      <w:pPr>
        <w:pStyle w:val="Loendilik"/>
        <w:numPr>
          <w:ilvl w:val="0"/>
          <w:numId w:val="22"/>
        </w:num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55% kõigist vastanuist </w:t>
      </w:r>
      <w:r w:rsidR="009D683D" w:rsidRPr="00D84791">
        <w:rPr>
          <w:rFonts w:ascii="Times New Roman" w:hAnsi="Times New Roman" w:cs="Times New Roman"/>
          <w:sz w:val="24"/>
          <w:szCs w:val="24"/>
        </w:rPr>
        <w:t>teab</w:t>
      </w:r>
      <w:r w:rsidRPr="00D84791">
        <w:rPr>
          <w:rFonts w:ascii="Times New Roman" w:hAnsi="Times New Roman" w:cs="Times New Roman"/>
          <w:sz w:val="24"/>
          <w:szCs w:val="24"/>
        </w:rPr>
        <w:t xml:space="preserve">, et internetis on avaldatud nn must nimekiri, mis kajastab ettevõtjate nimesid, kes ei täida </w:t>
      </w:r>
      <w:r w:rsidR="00542A88">
        <w:rPr>
          <w:rFonts w:ascii="Times New Roman" w:hAnsi="Times New Roman" w:cs="Times New Roman"/>
          <w:sz w:val="24"/>
          <w:szCs w:val="24"/>
        </w:rPr>
        <w:t>TVK</w:t>
      </w:r>
      <w:r w:rsidRPr="00D84791">
        <w:rPr>
          <w:rFonts w:ascii="Times New Roman" w:hAnsi="Times New Roman" w:cs="Times New Roman"/>
          <w:sz w:val="24"/>
          <w:szCs w:val="24"/>
        </w:rPr>
        <w:t xml:space="preserve"> otsuseid; </w:t>
      </w:r>
    </w:p>
    <w:p w14:paraId="4C9D3E70" w14:textId="672C44A4" w:rsidR="00025A23" w:rsidRPr="00D84791" w:rsidRDefault="00025A23" w:rsidP="00E12360">
      <w:pPr>
        <w:pStyle w:val="Loendilik"/>
        <w:numPr>
          <w:ilvl w:val="1"/>
          <w:numId w:val="22"/>
        </w:num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neist 44% on sellest vaid teadlik;</w:t>
      </w:r>
    </w:p>
    <w:p w14:paraId="5A6EDD40" w14:textId="64C4A64A" w:rsidR="00025A23" w:rsidRPr="00D84791" w:rsidRDefault="00025A23" w:rsidP="00E12360">
      <w:pPr>
        <w:pStyle w:val="Loendilik"/>
        <w:numPr>
          <w:ilvl w:val="1"/>
          <w:numId w:val="22"/>
        </w:numPr>
        <w:spacing w:line="276" w:lineRule="auto"/>
        <w:jc w:val="both"/>
        <w:rPr>
          <w:rFonts w:ascii="Times New Roman" w:hAnsi="Times New Roman" w:cs="Times New Roman"/>
          <w:sz w:val="24"/>
          <w:szCs w:val="24"/>
        </w:rPr>
      </w:pPr>
      <w:r w:rsidRPr="00D84791">
        <w:rPr>
          <w:rFonts w:ascii="Times New Roman" w:hAnsi="Times New Roman" w:cs="Times New Roman"/>
          <w:b/>
          <w:bCs/>
          <w:sz w:val="24"/>
          <w:szCs w:val="24"/>
        </w:rPr>
        <w:t>kõigest 11%</w:t>
      </w:r>
      <w:r w:rsidRPr="00D84791">
        <w:rPr>
          <w:rFonts w:ascii="Times New Roman" w:hAnsi="Times New Roman" w:cs="Times New Roman"/>
          <w:sz w:val="24"/>
          <w:szCs w:val="24"/>
        </w:rPr>
        <w:t xml:space="preserve"> kasutab seda ka kaupleja tausta kontrollimiseks.</w:t>
      </w:r>
    </w:p>
    <w:p w14:paraId="66F376D5" w14:textId="63C378C8" w:rsidR="00025A23" w:rsidRPr="00D84791" w:rsidRDefault="00025A23" w:rsidP="00E12360">
      <w:pPr>
        <w:pStyle w:val="Loendilik"/>
        <w:numPr>
          <w:ilvl w:val="0"/>
          <w:numId w:val="22"/>
        </w:num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enne e-poest või sotsiaalmeediast kauba ostmist</w:t>
      </w:r>
      <w:r w:rsidR="00542A88">
        <w:rPr>
          <w:rFonts w:ascii="Times New Roman" w:hAnsi="Times New Roman" w:cs="Times New Roman"/>
          <w:sz w:val="24"/>
          <w:szCs w:val="24"/>
        </w:rPr>
        <w:t xml:space="preserve"> </w:t>
      </w:r>
      <w:r w:rsidR="00542A88" w:rsidRPr="00542A88">
        <w:rPr>
          <w:rFonts w:ascii="Times New Roman" w:hAnsi="Times New Roman" w:cs="Times New Roman"/>
          <w:b/>
          <w:bCs/>
          <w:sz w:val="24"/>
          <w:szCs w:val="24"/>
        </w:rPr>
        <w:t>ei uuri</w:t>
      </w:r>
      <w:r w:rsidRPr="00D84791">
        <w:rPr>
          <w:rFonts w:ascii="Times New Roman" w:hAnsi="Times New Roman" w:cs="Times New Roman"/>
          <w:sz w:val="24"/>
          <w:szCs w:val="24"/>
        </w:rPr>
        <w:t xml:space="preserve"> </w:t>
      </w:r>
      <w:r w:rsidR="00542A88">
        <w:rPr>
          <w:rFonts w:ascii="Times New Roman" w:hAnsi="Times New Roman" w:cs="Times New Roman"/>
          <w:sz w:val="24"/>
          <w:szCs w:val="24"/>
        </w:rPr>
        <w:t>vähemalt</w:t>
      </w:r>
      <w:r w:rsidRPr="00D84791">
        <w:rPr>
          <w:rFonts w:ascii="Times New Roman" w:hAnsi="Times New Roman" w:cs="Times New Roman"/>
          <w:sz w:val="24"/>
          <w:szCs w:val="24"/>
        </w:rPr>
        <w:t xml:space="preserve"> viiendik (20-23%) vastanutest:</w:t>
      </w:r>
    </w:p>
    <w:p w14:paraId="2166E81B" w14:textId="4DB365F8" w:rsidR="00874063" w:rsidRPr="00D84791" w:rsidRDefault="00874063" w:rsidP="00E12360">
      <w:pPr>
        <w:pStyle w:val="Loendilik"/>
        <w:numPr>
          <w:ilvl w:val="1"/>
          <w:numId w:val="22"/>
        </w:num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kas kaupleja (ettevõte) on registreeritud (tegelikult olemas ja tegutseb);</w:t>
      </w:r>
    </w:p>
    <w:p w14:paraId="26C26772" w14:textId="2EAF97FF" w:rsidR="00025A23" w:rsidRPr="00D84791" w:rsidRDefault="00874063" w:rsidP="00E12360">
      <w:pPr>
        <w:pStyle w:val="Loendilik"/>
        <w:numPr>
          <w:ilvl w:val="1"/>
          <w:numId w:val="22"/>
        </w:num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kontaktandmeid, kuhu pöörduda, et vajadusel müüjaga ühendust võtta;</w:t>
      </w:r>
    </w:p>
    <w:p w14:paraId="38F7A727" w14:textId="17C3F527" w:rsidR="00874063" w:rsidRPr="00D84791" w:rsidRDefault="00874063" w:rsidP="00E12360">
      <w:pPr>
        <w:pStyle w:val="Loendilik"/>
        <w:numPr>
          <w:ilvl w:val="1"/>
          <w:numId w:val="22"/>
        </w:num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lastRenderedPageBreak/>
        <w:t>millises riigis on kaupleja (ettevõte) registreeritud;</w:t>
      </w:r>
    </w:p>
    <w:p w14:paraId="58DF9BF7" w14:textId="29D08407" w:rsidR="00874063" w:rsidRPr="009D30F4" w:rsidRDefault="00874063" w:rsidP="00E12360">
      <w:pPr>
        <w:pStyle w:val="Loendilik"/>
        <w:numPr>
          <w:ilvl w:val="1"/>
          <w:numId w:val="22"/>
        </w:numPr>
        <w:spacing w:before="240" w:line="276" w:lineRule="auto"/>
        <w:jc w:val="both"/>
        <w:rPr>
          <w:rFonts w:ascii="Times New Roman" w:hAnsi="Times New Roman" w:cs="Times New Roman"/>
          <w:sz w:val="24"/>
          <w:szCs w:val="24"/>
        </w:rPr>
      </w:pPr>
      <w:r w:rsidRPr="00D84791">
        <w:rPr>
          <w:rFonts w:ascii="Times New Roman" w:hAnsi="Times New Roman" w:cs="Times New Roman"/>
          <w:sz w:val="24"/>
          <w:szCs w:val="24"/>
        </w:rPr>
        <w:t>kas ja mis tingimustel saab kauba tagastada.</w:t>
      </w:r>
    </w:p>
    <w:p w14:paraId="67D5DEC8" w14:textId="2FEFD4F5" w:rsidR="00473774" w:rsidRPr="00115D27" w:rsidRDefault="00473774" w:rsidP="00E12360">
      <w:pPr>
        <w:pStyle w:val="Pealkiri3"/>
        <w:numPr>
          <w:ilvl w:val="0"/>
          <w:numId w:val="24"/>
        </w:numPr>
        <w:spacing w:line="276" w:lineRule="auto"/>
        <w:rPr>
          <w:b/>
          <w:bCs/>
        </w:rPr>
      </w:pPr>
      <w:r w:rsidRPr="00115D27">
        <w:rPr>
          <w:b/>
          <w:bCs/>
        </w:rPr>
        <w:t>Kampaania eesmärk</w:t>
      </w:r>
    </w:p>
    <w:p w14:paraId="60A9E940" w14:textId="47F72D92" w:rsidR="00874063" w:rsidRPr="00D84791" w:rsidRDefault="00874063"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Nagu eelviidatud uuringu tulemused näitasid, on teadlikkus musta nimekirja olemasolust madal (45% ei tea selle olemasolust) ja ligi 90% tarbijaid ei kasuta seda kaupleja tausta kontrollimiseks. Samuti ei tee iga viies tarbija piisavalt eeltööd enne veebist ostmist, veendumaks, millise kauplejaga ta lepingu sõlmib ehk kuhu oma raha kannab.</w:t>
      </w:r>
    </w:p>
    <w:p w14:paraId="070B5A0D" w14:textId="553D8EBF" w:rsidR="001C6919" w:rsidRPr="00D84791" w:rsidRDefault="00874063"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Sellest tulenevalt on </w:t>
      </w:r>
      <w:r w:rsidRPr="00D84791">
        <w:rPr>
          <w:rFonts w:ascii="Times New Roman" w:hAnsi="Times New Roman" w:cs="Times New Roman"/>
          <w:b/>
          <w:bCs/>
          <w:sz w:val="24"/>
          <w:szCs w:val="24"/>
        </w:rPr>
        <w:t>k</w:t>
      </w:r>
      <w:r w:rsidR="00473774" w:rsidRPr="00D84791">
        <w:rPr>
          <w:rFonts w:ascii="Times New Roman" w:hAnsi="Times New Roman" w:cs="Times New Roman"/>
          <w:b/>
          <w:bCs/>
          <w:sz w:val="24"/>
          <w:szCs w:val="24"/>
        </w:rPr>
        <w:t xml:space="preserve">ampaania </w:t>
      </w:r>
      <w:r w:rsidRPr="00D84791">
        <w:rPr>
          <w:rFonts w:ascii="Times New Roman" w:hAnsi="Times New Roman" w:cs="Times New Roman"/>
          <w:b/>
          <w:bCs/>
          <w:sz w:val="24"/>
          <w:szCs w:val="24"/>
        </w:rPr>
        <w:t xml:space="preserve">peamiseks </w:t>
      </w:r>
      <w:r w:rsidR="00473774" w:rsidRPr="00D84791">
        <w:rPr>
          <w:rFonts w:ascii="Times New Roman" w:hAnsi="Times New Roman" w:cs="Times New Roman"/>
          <w:b/>
          <w:bCs/>
          <w:sz w:val="24"/>
          <w:szCs w:val="24"/>
        </w:rPr>
        <w:t xml:space="preserve">eesmärgiks tõsta sihtrühma teadlikkust </w:t>
      </w:r>
      <w:r w:rsidR="00FD0073" w:rsidRPr="00D84791">
        <w:rPr>
          <w:rFonts w:ascii="Times New Roman" w:hAnsi="Times New Roman" w:cs="Times New Roman"/>
          <w:b/>
          <w:bCs/>
          <w:sz w:val="24"/>
          <w:szCs w:val="24"/>
        </w:rPr>
        <w:t>mustast nimekirjast</w:t>
      </w:r>
      <w:r w:rsidR="00DD1DC7" w:rsidRPr="00D84791">
        <w:rPr>
          <w:rFonts w:ascii="Times New Roman" w:hAnsi="Times New Roman" w:cs="Times New Roman"/>
          <w:sz w:val="24"/>
          <w:szCs w:val="24"/>
        </w:rPr>
        <w:t xml:space="preserve"> ning saada võimalikult lai </w:t>
      </w:r>
      <w:r w:rsidR="00EE3B47">
        <w:rPr>
          <w:rFonts w:ascii="Times New Roman" w:hAnsi="Times New Roman" w:cs="Times New Roman"/>
          <w:sz w:val="24"/>
          <w:szCs w:val="24"/>
        </w:rPr>
        <w:t xml:space="preserve">Eesti ülene </w:t>
      </w:r>
      <w:r w:rsidR="00DD1DC7" w:rsidRPr="00D84791">
        <w:rPr>
          <w:rFonts w:ascii="Times New Roman" w:hAnsi="Times New Roman" w:cs="Times New Roman"/>
          <w:sz w:val="24"/>
          <w:szCs w:val="24"/>
        </w:rPr>
        <w:t>katvus ja nähtavus olemasoleva eelarve raames.</w:t>
      </w:r>
      <w:r w:rsidR="00473774" w:rsidRPr="00D84791">
        <w:rPr>
          <w:rFonts w:ascii="Times New Roman" w:hAnsi="Times New Roman" w:cs="Times New Roman"/>
          <w:sz w:val="24"/>
          <w:szCs w:val="24"/>
        </w:rPr>
        <w:t xml:space="preserve"> </w:t>
      </w:r>
      <w:r w:rsidR="001C6919" w:rsidRPr="00D84791">
        <w:rPr>
          <w:rFonts w:ascii="Times New Roman" w:hAnsi="Times New Roman" w:cs="Times New Roman"/>
          <w:sz w:val="24"/>
          <w:szCs w:val="24"/>
        </w:rPr>
        <w:t>Äratada huvi – mida see endast kujutab? Miks see olemas on? Kuidas see tarbijat aitab?</w:t>
      </w:r>
    </w:p>
    <w:p w14:paraId="111A52B7" w14:textId="4E10ADDD" w:rsidR="007625E7" w:rsidRPr="00D84791" w:rsidRDefault="007625E7"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Kampaania </w:t>
      </w:r>
      <w:r w:rsidRPr="00D84791">
        <w:rPr>
          <w:rFonts w:ascii="Times New Roman" w:hAnsi="Times New Roman" w:cs="Times New Roman"/>
          <w:b/>
          <w:bCs/>
          <w:sz w:val="24"/>
          <w:szCs w:val="24"/>
        </w:rPr>
        <w:t>lisaeesmärk on teadvustada tarbijale, millist eeltööd tuleks teha enne kauba või teenuse ostmist</w:t>
      </w:r>
      <w:r w:rsidRPr="00D84791">
        <w:rPr>
          <w:rFonts w:ascii="Times New Roman" w:hAnsi="Times New Roman" w:cs="Times New Roman"/>
          <w:sz w:val="24"/>
          <w:szCs w:val="24"/>
        </w:rPr>
        <w:t xml:space="preserve">. </w:t>
      </w:r>
      <w:r w:rsidR="00542A88">
        <w:rPr>
          <w:rFonts w:ascii="Times New Roman" w:hAnsi="Times New Roman" w:cs="Times New Roman"/>
          <w:sz w:val="24"/>
          <w:szCs w:val="24"/>
        </w:rPr>
        <w:t>TVK</w:t>
      </w:r>
      <w:r w:rsidR="009F3E4C" w:rsidRPr="00D84791">
        <w:rPr>
          <w:rFonts w:ascii="Times New Roman" w:hAnsi="Times New Roman" w:cs="Times New Roman"/>
          <w:sz w:val="24"/>
          <w:szCs w:val="24"/>
        </w:rPr>
        <w:t xml:space="preserve"> otsuseid mittetäitvate kauplejate avalikustamine internetis </w:t>
      </w:r>
      <w:r w:rsidRPr="00D84791">
        <w:rPr>
          <w:rFonts w:ascii="Times New Roman" w:hAnsi="Times New Roman" w:cs="Times New Roman"/>
          <w:sz w:val="24"/>
          <w:szCs w:val="24"/>
        </w:rPr>
        <w:t xml:space="preserve">on </w:t>
      </w:r>
      <w:r w:rsidR="009F3E4C" w:rsidRPr="00D84791">
        <w:rPr>
          <w:rFonts w:ascii="Times New Roman" w:hAnsi="Times New Roman" w:cs="Times New Roman"/>
          <w:sz w:val="24"/>
          <w:szCs w:val="24"/>
        </w:rPr>
        <w:t>vajalik</w:t>
      </w:r>
      <w:r w:rsidRPr="00D84791">
        <w:rPr>
          <w:rFonts w:ascii="Times New Roman" w:hAnsi="Times New Roman" w:cs="Times New Roman"/>
          <w:sz w:val="24"/>
          <w:szCs w:val="24"/>
        </w:rPr>
        <w:t xml:space="preserve"> tööriist, millele kampaanias peamist rõhku panna, kuid järgmise sammuna peaks tarbija teada saama, kust ja millist infot kaupleja kohta veel otsida.</w:t>
      </w:r>
    </w:p>
    <w:p w14:paraId="41B48F5C" w14:textId="038CDC97" w:rsidR="009F3E4C" w:rsidRPr="00D84791" w:rsidRDefault="009F3E4C"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Kampaania tulemuslikkust saab muuhulgas otseselt mõõta musta nimekirja </w:t>
      </w:r>
      <w:r w:rsidR="00542A88">
        <w:rPr>
          <w:rFonts w:ascii="Times New Roman" w:hAnsi="Times New Roman" w:cs="Times New Roman"/>
          <w:sz w:val="24"/>
          <w:szCs w:val="24"/>
        </w:rPr>
        <w:t xml:space="preserve">veebilehe </w:t>
      </w:r>
      <w:r w:rsidRPr="00D84791">
        <w:rPr>
          <w:rFonts w:ascii="Times New Roman" w:hAnsi="Times New Roman" w:cs="Times New Roman"/>
          <w:sz w:val="24"/>
          <w:szCs w:val="24"/>
        </w:rPr>
        <w:t xml:space="preserve">külastatavuses – </w:t>
      </w:r>
      <w:r w:rsidRPr="00D84791">
        <w:rPr>
          <w:rFonts w:ascii="Times New Roman" w:hAnsi="Times New Roman" w:cs="Times New Roman"/>
          <w:b/>
          <w:bCs/>
          <w:sz w:val="24"/>
          <w:szCs w:val="24"/>
        </w:rPr>
        <w:t>eesmärk on seda mitmekordistada</w:t>
      </w:r>
      <w:r w:rsidRPr="00D84791">
        <w:rPr>
          <w:rFonts w:ascii="Times New Roman" w:hAnsi="Times New Roman" w:cs="Times New Roman"/>
          <w:sz w:val="24"/>
          <w:szCs w:val="24"/>
        </w:rPr>
        <w:t xml:space="preserve"> (keskmiselt on külastusi igakuiselt 1000-2000).</w:t>
      </w:r>
    </w:p>
    <w:p w14:paraId="70773267" w14:textId="77CDBD74" w:rsidR="00473774" w:rsidRPr="00115D27" w:rsidRDefault="00473774" w:rsidP="00E12360">
      <w:pPr>
        <w:pStyle w:val="Pealkiri3"/>
        <w:numPr>
          <w:ilvl w:val="0"/>
          <w:numId w:val="24"/>
        </w:numPr>
        <w:spacing w:line="276" w:lineRule="auto"/>
        <w:rPr>
          <w:b/>
          <w:bCs/>
        </w:rPr>
      </w:pPr>
      <w:r w:rsidRPr="00115D27">
        <w:rPr>
          <w:b/>
          <w:bCs/>
        </w:rPr>
        <w:t>Kampaania sisu</w:t>
      </w:r>
    </w:p>
    <w:p w14:paraId="11B33E3C" w14:textId="064AF03C" w:rsidR="009F3E4C" w:rsidRPr="00D84791" w:rsidRDefault="009F3E4C"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Must nimekiri on kergesti leitav ja hea infoallikas, kust tarbijana enne ostu sooritamist kaupleja kohta infot leida. Selle eesmärk on preventiivne ja tarbijale </w:t>
      </w:r>
      <w:r w:rsidRPr="00D84791">
        <w:rPr>
          <w:rFonts w:ascii="Times New Roman" w:hAnsi="Times New Roman" w:cs="Times New Roman"/>
          <w:b/>
          <w:bCs/>
          <w:sz w:val="24"/>
          <w:szCs w:val="24"/>
        </w:rPr>
        <w:t>praktiliseks abiks enne ostuotsuse tegemist</w:t>
      </w:r>
      <w:r w:rsidRPr="00D84791">
        <w:rPr>
          <w:rFonts w:ascii="Times New Roman" w:hAnsi="Times New Roman" w:cs="Times New Roman"/>
          <w:sz w:val="24"/>
          <w:szCs w:val="24"/>
        </w:rPr>
        <w:t xml:space="preserve">. Mõistagi omaks see suuremat ennetavat mõju, kui tarbijad enne ostuotsuse tegemist rohkem ettevõtja usaldusväärsust kontrolliks ning kasutaks selleks ka musta nimekirja. </w:t>
      </w:r>
    </w:p>
    <w:p w14:paraId="21B70252" w14:textId="2C1766B4" w:rsidR="00782614" w:rsidRPr="00D84791" w:rsidRDefault="0078261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Kampaania fookus on </w:t>
      </w:r>
      <w:r w:rsidRPr="00D84791">
        <w:rPr>
          <w:rFonts w:ascii="Times New Roman" w:hAnsi="Times New Roman" w:cs="Times New Roman"/>
          <w:b/>
          <w:bCs/>
          <w:sz w:val="24"/>
          <w:szCs w:val="24"/>
        </w:rPr>
        <w:t>ennetaval sõnumil</w:t>
      </w:r>
      <w:r w:rsidRPr="00D84791">
        <w:rPr>
          <w:rFonts w:ascii="Times New Roman" w:hAnsi="Times New Roman" w:cs="Times New Roman"/>
          <w:sz w:val="24"/>
          <w:szCs w:val="24"/>
        </w:rPr>
        <w:t>: tee</w:t>
      </w:r>
      <w:r w:rsidR="009F3E4C" w:rsidRPr="00D84791">
        <w:rPr>
          <w:rFonts w:ascii="Times New Roman" w:hAnsi="Times New Roman" w:cs="Times New Roman"/>
          <w:sz w:val="24"/>
          <w:szCs w:val="24"/>
        </w:rPr>
        <w:t xml:space="preserve"> teadliku tarbijana</w:t>
      </w:r>
      <w:r w:rsidRPr="00D84791">
        <w:rPr>
          <w:rFonts w:ascii="Times New Roman" w:hAnsi="Times New Roman" w:cs="Times New Roman"/>
          <w:sz w:val="24"/>
          <w:szCs w:val="24"/>
        </w:rPr>
        <w:t xml:space="preserve"> eeltöö, uurides kaupleja tausta ja kontrollides musta nimekirja, et teaksid, kellelt kaupa või teenust ostad ja kellega lepingulisse suhtesse astud. Tänapäeva (e-)kaubanduses on kauplejaid sedavõrd palju, et silme eest võib </w:t>
      </w:r>
      <w:r w:rsidR="00CA37F7">
        <w:rPr>
          <w:rFonts w:ascii="Times New Roman" w:hAnsi="Times New Roman" w:cs="Times New Roman"/>
          <w:sz w:val="24"/>
          <w:szCs w:val="24"/>
        </w:rPr>
        <w:t>„</w:t>
      </w:r>
      <w:r w:rsidRPr="00D84791">
        <w:rPr>
          <w:rFonts w:ascii="Times New Roman" w:hAnsi="Times New Roman" w:cs="Times New Roman"/>
          <w:sz w:val="24"/>
          <w:szCs w:val="24"/>
        </w:rPr>
        <w:t>mustaks minna</w:t>
      </w:r>
      <w:r w:rsidR="00CA37F7">
        <w:rPr>
          <w:rFonts w:ascii="Times New Roman" w:hAnsi="Times New Roman" w:cs="Times New Roman"/>
          <w:sz w:val="24"/>
          <w:szCs w:val="24"/>
        </w:rPr>
        <w:t>“</w:t>
      </w:r>
      <w:r w:rsidRPr="00D84791">
        <w:rPr>
          <w:rFonts w:ascii="Times New Roman" w:hAnsi="Times New Roman" w:cs="Times New Roman"/>
          <w:sz w:val="24"/>
          <w:szCs w:val="24"/>
        </w:rPr>
        <w:t xml:space="preserve"> – abiks on üks lihtne, kuid oluline meetod kaupleja tausta uurimisel ehk musta nimekirja kontrollimine. Enda mainest hoolivad kauplejad seal nimekirjas kindlasti niisama olla ei taha.</w:t>
      </w:r>
    </w:p>
    <w:p w14:paraId="33767B8F" w14:textId="16517B6A" w:rsidR="007625E7" w:rsidRPr="00D84791" w:rsidRDefault="007625E7"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Kampaania peaks koosnema </w:t>
      </w:r>
      <w:r w:rsidR="00B161ED" w:rsidRPr="00D84791">
        <w:rPr>
          <w:rFonts w:ascii="Times New Roman" w:hAnsi="Times New Roman" w:cs="Times New Roman"/>
          <w:sz w:val="24"/>
          <w:szCs w:val="24"/>
        </w:rPr>
        <w:t xml:space="preserve">selgetest ja haaravatest sõnumitest, mida illustreerivad lihtsad ja tähelepanu köitvad </w:t>
      </w:r>
      <w:proofErr w:type="spellStart"/>
      <w:r w:rsidRPr="00D84791">
        <w:rPr>
          <w:rFonts w:ascii="Times New Roman" w:hAnsi="Times New Roman" w:cs="Times New Roman"/>
          <w:sz w:val="24"/>
          <w:szCs w:val="24"/>
        </w:rPr>
        <w:t>visuaalid</w:t>
      </w:r>
      <w:proofErr w:type="spellEnd"/>
      <w:r w:rsidRPr="00D84791">
        <w:rPr>
          <w:rFonts w:ascii="Times New Roman" w:hAnsi="Times New Roman" w:cs="Times New Roman"/>
          <w:sz w:val="24"/>
          <w:szCs w:val="24"/>
        </w:rPr>
        <w:t>.</w:t>
      </w:r>
      <w:r w:rsidR="00B161ED" w:rsidRPr="00D84791">
        <w:rPr>
          <w:rFonts w:ascii="Times New Roman" w:hAnsi="Times New Roman" w:cs="Times New Roman"/>
          <w:sz w:val="24"/>
          <w:szCs w:val="24"/>
        </w:rPr>
        <w:t xml:space="preserve"> Sihtrühmal peaks olema võimalik jõuda </w:t>
      </w:r>
      <w:hyperlink r:id="rId11" w:history="1">
        <w:r w:rsidR="00B161ED" w:rsidRPr="00D84791">
          <w:rPr>
            <w:rStyle w:val="Hperlink"/>
            <w:rFonts w:ascii="Times New Roman" w:hAnsi="Times New Roman" w:cs="Times New Roman"/>
            <w:sz w:val="24"/>
            <w:szCs w:val="24"/>
          </w:rPr>
          <w:t>maandumislehele</w:t>
        </w:r>
      </w:hyperlink>
      <w:r w:rsidR="00B161ED" w:rsidRPr="00D84791">
        <w:rPr>
          <w:rFonts w:ascii="Times New Roman" w:hAnsi="Times New Roman" w:cs="Times New Roman"/>
          <w:sz w:val="24"/>
          <w:szCs w:val="24"/>
        </w:rPr>
        <w:t>, kust leiab täiendava</w:t>
      </w:r>
      <w:r w:rsidR="00690BD4" w:rsidRPr="00D84791">
        <w:rPr>
          <w:rFonts w:ascii="Times New Roman" w:hAnsi="Times New Roman" w:cs="Times New Roman"/>
          <w:sz w:val="24"/>
          <w:szCs w:val="24"/>
        </w:rPr>
        <w:t>t</w:t>
      </w:r>
      <w:r w:rsidR="00B161ED" w:rsidRPr="00D84791">
        <w:rPr>
          <w:rFonts w:ascii="Times New Roman" w:hAnsi="Times New Roman" w:cs="Times New Roman"/>
          <w:sz w:val="24"/>
          <w:szCs w:val="24"/>
        </w:rPr>
        <w:t xml:space="preserve"> infot ja nõuandeid</w:t>
      </w:r>
      <w:r w:rsidR="00542A88">
        <w:rPr>
          <w:rFonts w:ascii="Times New Roman" w:hAnsi="Times New Roman" w:cs="Times New Roman"/>
          <w:sz w:val="24"/>
          <w:szCs w:val="24"/>
        </w:rPr>
        <w:t xml:space="preserve"> (kuhu lähevad üles ka kampaaniamaterjalid)</w:t>
      </w:r>
      <w:r w:rsidR="00B161ED" w:rsidRPr="00D84791">
        <w:rPr>
          <w:rFonts w:ascii="Times New Roman" w:hAnsi="Times New Roman" w:cs="Times New Roman"/>
          <w:sz w:val="24"/>
          <w:szCs w:val="24"/>
        </w:rPr>
        <w:t>.</w:t>
      </w:r>
      <w:r w:rsidRPr="00D84791">
        <w:rPr>
          <w:rFonts w:ascii="Times New Roman" w:hAnsi="Times New Roman" w:cs="Times New Roman"/>
          <w:sz w:val="24"/>
          <w:szCs w:val="24"/>
        </w:rPr>
        <w:t xml:space="preserve"> </w:t>
      </w:r>
      <w:r w:rsidR="00782614" w:rsidRPr="00D84791">
        <w:rPr>
          <w:rFonts w:ascii="Times New Roman" w:hAnsi="Times New Roman" w:cs="Times New Roman"/>
          <w:sz w:val="24"/>
          <w:szCs w:val="24"/>
        </w:rPr>
        <w:t>Materjalid peavad sisaldama teavet rahastuse kohta, Euroopa Liidu embleemi ja TTJA logo – vt täpsemalt 4. punktist.</w:t>
      </w:r>
    </w:p>
    <w:p w14:paraId="0836061E" w14:textId="3B9C12EF" w:rsidR="00473774" w:rsidRPr="00115D27" w:rsidRDefault="00473774" w:rsidP="00E12360">
      <w:pPr>
        <w:pStyle w:val="Pealkiri3"/>
        <w:numPr>
          <w:ilvl w:val="0"/>
          <w:numId w:val="24"/>
        </w:numPr>
        <w:spacing w:line="276" w:lineRule="auto"/>
        <w:rPr>
          <w:b/>
          <w:bCs/>
        </w:rPr>
      </w:pPr>
      <w:r w:rsidRPr="00115D27">
        <w:rPr>
          <w:b/>
          <w:bCs/>
        </w:rPr>
        <w:t> Sihtgrupp</w:t>
      </w:r>
    </w:p>
    <w:p w14:paraId="1B955836" w14:textId="194A7E5E"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Kampaania sihtgrupiks on 20-65 aastased eesti keelt kõnelevad kodanikud.</w:t>
      </w:r>
    </w:p>
    <w:p w14:paraId="4B65C2A5" w14:textId="47289397" w:rsidR="00473774" w:rsidRPr="00115D27" w:rsidRDefault="00473774" w:rsidP="00542A88">
      <w:pPr>
        <w:pStyle w:val="Pealkiri3"/>
        <w:numPr>
          <w:ilvl w:val="0"/>
          <w:numId w:val="24"/>
        </w:numPr>
        <w:spacing w:line="276" w:lineRule="auto"/>
        <w:rPr>
          <w:b/>
          <w:bCs/>
        </w:rPr>
      </w:pPr>
      <w:r w:rsidRPr="00115D27">
        <w:rPr>
          <w:b/>
          <w:bCs/>
        </w:rPr>
        <w:lastRenderedPageBreak/>
        <w:t>Lepingu täitmine ja eelarve</w:t>
      </w:r>
    </w:p>
    <w:p w14:paraId="19E9022B" w14:textId="59DEA68D"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Lepingu täitmise tähtajad, sh kampaania materjalide üleandmise tähtajad on märgitud hankelepingu kavandis.</w:t>
      </w:r>
    </w:p>
    <w:p w14:paraId="1B04F760" w14:textId="4195273C" w:rsidR="00473774" w:rsidRPr="00D84791" w:rsidRDefault="00E80D10" w:rsidP="31262270">
      <w:pPr>
        <w:spacing w:line="276" w:lineRule="auto"/>
        <w:jc w:val="both"/>
        <w:rPr>
          <w:rFonts w:ascii="Times New Roman" w:hAnsi="Times New Roman" w:cs="Times New Roman"/>
          <w:sz w:val="24"/>
          <w:szCs w:val="24"/>
        </w:rPr>
      </w:pPr>
      <w:r w:rsidRPr="0045021F">
        <w:rPr>
          <w:rFonts w:ascii="Times New Roman" w:hAnsi="Times New Roman" w:cs="Times New Roman"/>
          <w:b/>
          <w:bCs/>
          <w:sz w:val="24"/>
          <w:szCs w:val="24"/>
        </w:rPr>
        <w:t>Han</w:t>
      </w:r>
      <w:r w:rsidR="46F48FD8" w:rsidRPr="0045021F">
        <w:rPr>
          <w:rFonts w:ascii="Times New Roman" w:hAnsi="Times New Roman" w:cs="Times New Roman"/>
          <w:b/>
          <w:bCs/>
          <w:sz w:val="24"/>
          <w:szCs w:val="24"/>
        </w:rPr>
        <w:t xml:space="preserve">ke hind on </w:t>
      </w:r>
      <w:r w:rsidR="00983BF6" w:rsidRPr="0045021F">
        <w:rPr>
          <w:rFonts w:ascii="Times New Roman" w:hAnsi="Times New Roman" w:cs="Times New Roman"/>
          <w:b/>
          <w:bCs/>
          <w:sz w:val="24"/>
          <w:szCs w:val="24"/>
        </w:rPr>
        <w:t>29 516,1</w:t>
      </w:r>
      <w:r w:rsidR="3E33FE84" w:rsidRPr="0045021F">
        <w:rPr>
          <w:rFonts w:ascii="Times New Roman" w:hAnsi="Times New Roman" w:cs="Times New Roman"/>
          <w:b/>
          <w:bCs/>
          <w:sz w:val="24"/>
          <w:szCs w:val="24"/>
        </w:rPr>
        <w:t>2</w:t>
      </w:r>
      <w:r w:rsidR="00473774" w:rsidRPr="0045021F">
        <w:rPr>
          <w:rFonts w:ascii="Times New Roman" w:hAnsi="Times New Roman" w:cs="Times New Roman"/>
          <w:b/>
          <w:bCs/>
          <w:sz w:val="24"/>
          <w:szCs w:val="24"/>
        </w:rPr>
        <w:t xml:space="preserve"> eurot</w:t>
      </w:r>
      <w:r w:rsidR="14849087" w:rsidRPr="0045021F">
        <w:rPr>
          <w:rFonts w:ascii="Times New Roman" w:hAnsi="Times New Roman" w:cs="Times New Roman"/>
          <w:b/>
          <w:bCs/>
          <w:sz w:val="24"/>
          <w:szCs w:val="24"/>
        </w:rPr>
        <w:t xml:space="preserve"> (fikseeritud)</w:t>
      </w:r>
      <w:r w:rsidR="00B161ED" w:rsidRPr="31262270">
        <w:rPr>
          <w:rFonts w:ascii="Times New Roman" w:hAnsi="Times New Roman" w:cs="Times New Roman"/>
          <w:sz w:val="24"/>
          <w:szCs w:val="24"/>
        </w:rPr>
        <w:t xml:space="preserve">, millest </w:t>
      </w:r>
      <w:r w:rsidR="662D8882" w:rsidRPr="00EE3B47">
        <w:rPr>
          <w:rFonts w:ascii="Times New Roman" w:hAnsi="Times New Roman" w:cs="Times New Roman"/>
          <w:b/>
          <w:bCs/>
          <w:sz w:val="24"/>
          <w:szCs w:val="24"/>
        </w:rPr>
        <w:t xml:space="preserve">sisu ja </w:t>
      </w:r>
      <w:r w:rsidR="00B161ED" w:rsidRPr="00EE3B47">
        <w:rPr>
          <w:rFonts w:ascii="Times New Roman" w:hAnsi="Times New Roman" w:cs="Times New Roman"/>
          <w:b/>
          <w:bCs/>
          <w:sz w:val="24"/>
          <w:szCs w:val="24"/>
        </w:rPr>
        <w:t xml:space="preserve">materjalide </w:t>
      </w:r>
      <w:r w:rsidR="00B161ED" w:rsidRPr="31262270">
        <w:rPr>
          <w:rFonts w:ascii="Times New Roman" w:hAnsi="Times New Roman" w:cs="Times New Roman"/>
          <w:b/>
          <w:bCs/>
          <w:sz w:val="24"/>
          <w:szCs w:val="24"/>
        </w:rPr>
        <w:t>tootmiseks</w:t>
      </w:r>
      <w:r w:rsidR="00B161ED" w:rsidRPr="31262270">
        <w:rPr>
          <w:rFonts w:ascii="Times New Roman" w:hAnsi="Times New Roman" w:cs="Times New Roman"/>
          <w:sz w:val="24"/>
          <w:szCs w:val="24"/>
        </w:rPr>
        <w:t xml:space="preserve"> on ette nähtud 14 758,06 eurot ja </w:t>
      </w:r>
      <w:r w:rsidR="00B161ED" w:rsidRPr="31262270">
        <w:rPr>
          <w:rFonts w:ascii="Times New Roman" w:hAnsi="Times New Roman" w:cs="Times New Roman"/>
          <w:b/>
          <w:bCs/>
          <w:sz w:val="24"/>
          <w:szCs w:val="24"/>
        </w:rPr>
        <w:t>levitamiseks</w:t>
      </w:r>
      <w:r w:rsidR="00B161ED" w:rsidRPr="31262270">
        <w:rPr>
          <w:rFonts w:ascii="Times New Roman" w:hAnsi="Times New Roman" w:cs="Times New Roman"/>
          <w:sz w:val="24"/>
          <w:szCs w:val="24"/>
        </w:rPr>
        <w:t xml:space="preserve"> samuti 14 758,06 eurot (</w:t>
      </w:r>
      <w:r w:rsidR="090A8C8E" w:rsidRPr="31262270">
        <w:rPr>
          <w:rFonts w:ascii="Times New Roman" w:hAnsi="Times New Roman" w:cs="Times New Roman"/>
          <w:sz w:val="24"/>
          <w:szCs w:val="24"/>
        </w:rPr>
        <w:t>kõik summad ilma käibemaksuta</w:t>
      </w:r>
      <w:r w:rsidR="00B161ED" w:rsidRPr="31262270">
        <w:rPr>
          <w:rFonts w:ascii="Times New Roman" w:hAnsi="Times New Roman" w:cs="Times New Roman"/>
          <w:sz w:val="24"/>
          <w:szCs w:val="24"/>
        </w:rPr>
        <w:t>).</w:t>
      </w:r>
    </w:p>
    <w:p w14:paraId="100FA0FD" w14:textId="411E2AC6" w:rsidR="009F2930"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Kampaaniat </w:t>
      </w:r>
      <w:proofErr w:type="spellStart"/>
      <w:r w:rsidRPr="00D84791">
        <w:rPr>
          <w:rFonts w:ascii="Times New Roman" w:hAnsi="Times New Roman" w:cs="Times New Roman"/>
          <w:sz w:val="24"/>
          <w:szCs w:val="24"/>
        </w:rPr>
        <w:t>kaasrahastatakse</w:t>
      </w:r>
      <w:proofErr w:type="spellEnd"/>
      <w:r w:rsidRPr="00D84791">
        <w:rPr>
          <w:rFonts w:ascii="Times New Roman" w:hAnsi="Times New Roman" w:cs="Times New Roman"/>
          <w:sz w:val="24"/>
          <w:szCs w:val="24"/>
        </w:rPr>
        <w:t xml:space="preserve"> Euroopa Liidu vahenditest. Toodetud </w:t>
      </w:r>
      <w:bookmarkStart w:id="1" w:name="_Hlk189055820"/>
      <w:r w:rsidRPr="00D84791">
        <w:rPr>
          <w:rFonts w:ascii="Times New Roman" w:hAnsi="Times New Roman" w:cs="Times New Roman"/>
          <w:sz w:val="24"/>
          <w:szCs w:val="24"/>
        </w:rPr>
        <w:t xml:space="preserve">materjalid peavad sisaldama teavet rahastuse kohta, Euroopa lipu embleemi ja </w:t>
      </w:r>
      <w:r w:rsidR="00542A88">
        <w:rPr>
          <w:rFonts w:ascii="Times New Roman" w:hAnsi="Times New Roman" w:cs="Times New Roman"/>
          <w:sz w:val="24"/>
          <w:szCs w:val="24"/>
        </w:rPr>
        <w:t>TTJA</w:t>
      </w:r>
      <w:r w:rsidRPr="00D84791">
        <w:rPr>
          <w:rFonts w:ascii="Times New Roman" w:hAnsi="Times New Roman" w:cs="Times New Roman"/>
          <w:sz w:val="24"/>
          <w:szCs w:val="24"/>
        </w:rPr>
        <w:t xml:space="preserve"> logo</w:t>
      </w:r>
      <w:bookmarkEnd w:id="1"/>
      <w:r w:rsidRPr="00D84791">
        <w:rPr>
          <w:rFonts w:ascii="Times New Roman" w:hAnsi="Times New Roman" w:cs="Times New Roman"/>
          <w:sz w:val="24"/>
          <w:szCs w:val="24"/>
        </w:rPr>
        <w:t>. Sellekohased täpsemad reeglid ja failid edastatakse edukale pakkujale.</w:t>
      </w:r>
    </w:p>
    <w:p w14:paraId="517215F0" w14:textId="700C5751" w:rsidR="00473774" w:rsidRPr="00115D27" w:rsidRDefault="00473774" w:rsidP="00542A88">
      <w:pPr>
        <w:pStyle w:val="Pealkiri3"/>
        <w:numPr>
          <w:ilvl w:val="0"/>
          <w:numId w:val="24"/>
        </w:numPr>
        <w:spacing w:line="276" w:lineRule="auto"/>
        <w:rPr>
          <w:b/>
          <w:bCs/>
        </w:rPr>
      </w:pPr>
      <w:r w:rsidRPr="00115D27">
        <w:rPr>
          <w:b/>
          <w:bCs/>
        </w:rPr>
        <w:t>Pakkumusele esitatavad nõuded ja pakkumuste hindamine</w:t>
      </w:r>
    </w:p>
    <w:p w14:paraId="20C07C12" w14:textId="59D42458" w:rsidR="00473774" w:rsidRPr="00D84791" w:rsidRDefault="001C6919"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5</w:t>
      </w:r>
      <w:r w:rsidR="00473774" w:rsidRPr="00D84791">
        <w:rPr>
          <w:rFonts w:ascii="Times New Roman" w:hAnsi="Times New Roman" w:cs="Times New Roman"/>
          <w:sz w:val="24"/>
          <w:szCs w:val="24"/>
        </w:rPr>
        <w:t xml:space="preserve">.1 </w:t>
      </w:r>
      <w:r w:rsidR="00473774" w:rsidRPr="0068298C">
        <w:rPr>
          <w:rFonts w:ascii="Times New Roman" w:hAnsi="Times New Roman" w:cs="Times New Roman"/>
          <w:b/>
          <w:bCs/>
          <w:sz w:val="24"/>
          <w:szCs w:val="24"/>
        </w:rPr>
        <w:t>Nõuded pakkumusele</w:t>
      </w:r>
    </w:p>
    <w:p w14:paraId="7D499B20" w14:textId="77777777" w:rsidR="00D70E2F" w:rsidRPr="00D84791" w:rsidRDefault="00D70E2F" w:rsidP="00E12360">
      <w:pPr>
        <w:widowControl w:val="0"/>
        <w:suppressAutoHyphens/>
        <w:spacing w:line="276" w:lineRule="auto"/>
        <w:jc w:val="both"/>
        <w:rPr>
          <w:rFonts w:ascii="Times New Roman" w:eastAsia="SimSun" w:hAnsi="Times New Roman" w:cs="Times New Roman"/>
          <w:kern w:val="1"/>
          <w:sz w:val="24"/>
          <w:szCs w:val="24"/>
          <w:lang w:eastAsia="zh-CN" w:bidi="hi-IN"/>
        </w:rPr>
      </w:pPr>
      <w:r w:rsidRPr="00D84791">
        <w:rPr>
          <w:rFonts w:ascii="Times New Roman" w:eastAsia="SimSun" w:hAnsi="Times New Roman" w:cs="Times New Roman"/>
          <w:kern w:val="1"/>
          <w:sz w:val="24"/>
          <w:szCs w:val="24"/>
          <w:lang w:eastAsia="zh-CN" w:bidi="hi-IN"/>
        </w:rPr>
        <w:t>Pakkuja peab esitama pakkumuses:</w:t>
      </w:r>
    </w:p>
    <w:p w14:paraId="1914C076" w14:textId="0EB52AFB" w:rsidR="00713D48" w:rsidRPr="00D84791" w:rsidRDefault="000A2659" w:rsidP="00E12360">
      <w:pPr>
        <w:pStyle w:val="Loendilik"/>
        <w:numPr>
          <w:ilvl w:val="0"/>
          <w:numId w:val="21"/>
        </w:num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lühitutvustuse</w:t>
      </w:r>
      <w:r w:rsidR="00784E6F" w:rsidRPr="00D84791">
        <w:rPr>
          <w:rFonts w:ascii="Times New Roman" w:hAnsi="Times New Roman" w:cs="Times New Roman"/>
          <w:sz w:val="24"/>
          <w:szCs w:val="24"/>
        </w:rPr>
        <w:t xml:space="preserve"> </w:t>
      </w:r>
      <w:r w:rsidRPr="00D84791">
        <w:rPr>
          <w:rFonts w:ascii="Times New Roman" w:hAnsi="Times New Roman" w:cs="Times New Roman"/>
          <w:sz w:val="24"/>
          <w:szCs w:val="24"/>
        </w:rPr>
        <w:t>meeskonnast</w:t>
      </w:r>
      <w:r w:rsidR="00B56C98">
        <w:rPr>
          <w:rFonts w:ascii="Times New Roman" w:hAnsi="Times New Roman" w:cs="Times New Roman"/>
          <w:sz w:val="24"/>
          <w:szCs w:val="24"/>
        </w:rPr>
        <w:t xml:space="preserve"> </w:t>
      </w:r>
      <w:r w:rsidR="00B56C98" w:rsidRPr="00D84791">
        <w:rPr>
          <w:rFonts w:ascii="Times New Roman" w:hAnsi="Times New Roman" w:cs="Times New Roman"/>
          <w:sz w:val="24"/>
          <w:szCs w:val="24"/>
        </w:rPr>
        <w:t>(</w:t>
      </w:r>
      <w:r w:rsidR="00B56C98">
        <w:rPr>
          <w:rFonts w:ascii="Times New Roman" w:hAnsi="Times New Roman" w:cs="Times New Roman"/>
          <w:sz w:val="24"/>
          <w:szCs w:val="24"/>
        </w:rPr>
        <w:t xml:space="preserve">peavastutaja ja liikmete </w:t>
      </w:r>
      <w:r w:rsidR="00B56C98" w:rsidRPr="00D84791">
        <w:rPr>
          <w:rFonts w:ascii="Times New Roman" w:hAnsi="Times New Roman" w:cs="Times New Roman"/>
          <w:sz w:val="24"/>
          <w:szCs w:val="24"/>
        </w:rPr>
        <w:t>valdkondlik kogemus</w:t>
      </w:r>
      <w:r w:rsidR="00B56C98">
        <w:rPr>
          <w:rFonts w:ascii="Times New Roman" w:hAnsi="Times New Roman" w:cs="Times New Roman"/>
          <w:sz w:val="24"/>
          <w:szCs w:val="24"/>
        </w:rPr>
        <w:t xml:space="preserve"> ning</w:t>
      </w:r>
      <w:r w:rsidR="00B56C98" w:rsidRPr="00D84791">
        <w:rPr>
          <w:rFonts w:ascii="Times New Roman" w:hAnsi="Times New Roman" w:cs="Times New Roman"/>
          <w:sz w:val="24"/>
          <w:szCs w:val="24"/>
        </w:rPr>
        <w:t xml:space="preserve"> kompetents konkreetse kampaania juures)</w:t>
      </w:r>
      <w:r w:rsidRPr="00D84791">
        <w:rPr>
          <w:rFonts w:ascii="Times New Roman" w:hAnsi="Times New Roman" w:cs="Times New Roman"/>
          <w:sz w:val="24"/>
          <w:szCs w:val="24"/>
        </w:rPr>
        <w:t>, kes aitavad kampaaniat luua ja läbi viia</w:t>
      </w:r>
      <w:r w:rsidR="00784E6F" w:rsidRPr="00D84791">
        <w:rPr>
          <w:rFonts w:ascii="Times New Roman" w:hAnsi="Times New Roman" w:cs="Times New Roman"/>
          <w:sz w:val="24"/>
          <w:szCs w:val="24"/>
        </w:rPr>
        <w:t>;</w:t>
      </w:r>
    </w:p>
    <w:p w14:paraId="70889A3F" w14:textId="67230E19" w:rsidR="00D70E2F" w:rsidRPr="00D84791" w:rsidRDefault="00D70E2F" w:rsidP="00E12360">
      <w:pPr>
        <w:pStyle w:val="Loendilik"/>
        <w:numPr>
          <w:ilvl w:val="0"/>
          <w:numId w:val="21"/>
        </w:num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kampaania loovlahenduse kontseptsiooni koos ideelahendustega</w:t>
      </w:r>
      <w:r w:rsidR="008409BE" w:rsidRPr="00D84791">
        <w:rPr>
          <w:rFonts w:ascii="Times New Roman" w:hAnsi="Times New Roman" w:cs="Times New Roman"/>
          <w:sz w:val="24"/>
          <w:szCs w:val="24"/>
        </w:rPr>
        <w:t>, sh visuaalse kontseptsiooni näiteid koos sõnumitega</w:t>
      </w:r>
      <w:r w:rsidRPr="00D84791">
        <w:rPr>
          <w:rFonts w:ascii="Times New Roman" w:hAnsi="Times New Roman" w:cs="Times New Roman"/>
          <w:sz w:val="24"/>
          <w:szCs w:val="24"/>
        </w:rPr>
        <w:t>. Kontseptsiooni ning materjalide formaatide osas töö tellija kohustuslikke elemente ei esita;</w:t>
      </w:r>
    </w:p>
    <w:p w14:paraId="483D5066" w14:textId="51619FD7" w:rsidR="00D70E2F" w:rsidRPr="00D84791" w:rsidRDefault="008409BE" w:rsidP="00E12360">
      <w:pPr>
        <w:pStyle w:val="Loendilik"/>
        <w:numPr>
          <w:ilvl w:val="1"/>
          <w:numId w:val="21"/>
        </w:num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koos lühikese </w:t>
      </w:r>
      <w:r w:rsidR="00927B82" w:rsidRPr="00D84791">
        <w:rPr>
          <w:rFonts w:ascii="Times New Roman" w:hAnsi="Times New Roman" w:cs="Times New Roman"/>
          <w:sz w:val="24"/>
          <w:szCs w:val="24"/>
        </w:rPr>
        <w:t>selgituse</w:t>
      </w:r>
      <w:r w:rsidRPr="00D84791">
        <w:rPr>
          <w:rFonts w:ascii="Times New Roman" w:hAnsi="Times New Roman" w:cs="Times New Roman"/>
          <w:sz w:val="24"/>
          <w:szCs w:val="24"/>
        </w:rPr>
        <w:t>ga</w:t>
      </w:r>
      <w:r w:rsidR="00D70E2F" w:rsidRPr="00D84791">
        <w:rPr>
          <w:rFonts w:ascii="Times New Roman" w:hAnsi="Times New Roman" w:cs="Times New Roman"/>
          <w:sz w:val="24"/>
          <w:szCs w:val="24"/>
        </w:rPr>
        <w:t>, miks pakutud ideelahendus tema hinnangul kampaania eesmärke kõige paremini täidab ehk kuidas materjalid aitavad sihtrühma parimal moel kõnetada;</w:t>
      </w:r>
    </w:p>
    <w:p w14:paraId="684EB47A" w14:textId="77777777" w:rsidR="00D70E2F" w:rsidRPr="00D84791" w:rsidRDefault="00D70E2F" w:rsidP="00E12360">
      <w:pPr>
        <w:pStyle w:val="Loendilik"/>
        <w:numPr>
          <w:ilvl w:val="0"/>
          <w:numId w:val="21"/>
        </w:num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kampaania nime ning hüüdlause, mis on nähtav kõikides materjalides, mida kampaania raames jagatakse;</w:t>
      </w:r>
    </w:p>
    <w:p w14:paraId="5797F0A7" w14:textId="38C92C0D" w:rsidR="00D70E2F" w:rsidRPr="00D84791" w:rsidRDefault="008409BE" w:rsidP="00E12360">
      <w:pPr>
        <w:pStyle w:val="Loendilik"/>
        <w:numPr>
          <w:ilvl w:val="0"/>
          <w:numId w:val="21"/>
        </w:numPr>
        <w:spacing w:line="276" w:lineRule="auto"/>
        <w:jc w:val="both"/>
        <w:rPr>
          <w:rFonts w:ascii="Times New Roman" w:hAnsi="Times New Roman" w:cs="Times New Roman"/>
          <w:sz w:val="24"/>
          <w:szCs w:val="24"/>
        </w:rPr>
      </w:pPr>
      <w:r w:rsidRPr="00D84791">
        <w:rPr>
          <w:rFonts w:ascii="Times New Roman" w:eastAsia="SimSun" w:hAnsi="Times New Roman" w:cs="Times New Roman"/>
          <w:kern w:val="1"/>
          <w:sz w:val="24"/>
          <w:szCs w:val="24"/>
          <w:lang w:eastAsia="zh-CN" w:bidi="hi-IN"/>
        </w:rPr>
        <w:t>tööde elluviimise</w:t>
      </w:r>
      <w:r w:rsidR="00D70E2F" w:rsidRPr="00D84791">
        <w:rPr>
          <w:rFonts w:ascii="Times New Roman" w:eastAsia="SimSun" w:hAnsi="Times New Roman" w:cs="Times New Roman"/>
          <w:kern w:val="1"/>
          <w:sz w:val="24"/>
          <w:szCs w:val="24"/>
          <w:lang w:eastAsia="zh-CN" w:bidi="hi-IN"/>
        </w:rPr>
        <w:t xml:space="preserve"> ajakava ja kampaania perioodi pikkuse arvestusega, et kampaania </w:t>
      </w:r>
      <w:r w:rsidR="00D70E2F" w:rsidRPr="00EE3B47">
        <w:rPr>
          <w:rFonts w:ascii="Times New Roman" w:eastAsia="SimSun" w:hAnsi="Times New Roman" w:cs="Times New Roman"/>
          <w:kern w:val="1"/>
          <w:sz w:val="24"/>
          <w:szCs w:val="24"/>
          <w:lang w:eastAsia="zh-CN" w:bidi="hi-IN"/>
        </w:rPr>
        <w:t xml:space="preserve">algab </w:t>
      </w:r>
      <w:r w:rsidR="00EE3B47">
        <w:rPr>
          <w:rFonts w:ascii="Times New Roman" w:eastAsia="SimSun" w:hAnsi="Times New Roman" w:cs="Times New Roman"/>
          <w:kern w:val="1"/>
          <w:sz w:val="24"/>
          <w:szCs w:val="24"/>
          <w:lang w:eastAsia="zh-CN" w:bidi="hi-IN"/>
        </w:rPr>
        <w:t>mitte hiljem kui 2026. a maikuus</w:t>
      </w:r>
      <w:r w:rsidR="00D70E2F" w:rsidRPr="00EE3B47">
        <w:rPr>
          <w:rFonts w:ascii="Times New Roman" w:eastAsia="SimSun" w:hAnsi="Times New Roman" w:cs="Times New Roman"/>
          <w:kern w:val="1"/>
          <w:sz w:val="24"/>
          <w:szCs w:val="24"/>
          <w:lang w:eastAsia="zh-CN" w:bidi="hi-IN"/>
        </w:rPr>
        <w:t xml:space="preserve"> ja kestab vähemalt </w:t>
      </w:r>
      <w:r w:rsidR="00EE3B47" w:rsidRPr="00EE3B47">
        <w:rPr>
          <w:rFonts w:ascii="Times New Roman" w:eastAsia="SimSun" w:hAnsi="Times New Roman" w:cs="Times New Roman"/>
          <w:kern w:val="1"/>
          <w:sz w:val="24"/>
          <w:szCs w:val="24"/>
          <w:lang w:eastAsia="zh-CN" w:bidi="hi-IN"/>
        </w:rPr>
        <w:t>2</w:t>
      </w:r>
      <w:r w:rsidR="00D70E2F" w:rsidRPr="00EE3B47">
        <w:rPr>
          <w:rFonts w:ascii="Times New Roman" w:eastAsia="SimSun" w:hAnsi="Times New Roman" w:cs="Times New Roman"/>
          <w:kern w:val="1"/>
          <w:sz w:val="24"/>
          <w:szCs w:val="24"/>
          <w:lang w:eastAsia="zh-CN" w:bidi="hi-IN"/>
        </w:rPr>
        <w:t xml:space="preserve"> nädalat</w:t>
      </w:r>
      <w:r w:rsidRPr="00D84791">
        <w:rPr>
          <w:rFonts w:ascii="Times New Roman" w:eastAsia="SimSun" w:hAnsi="Times New Roman" w:cs="Times New Roman"/>
          <w:kern w:val="1"/>
          <w:sz w:val="24"/>
          <w:szCs w:val="24"/>
          <w:lang w:eastAsia="zh-CN" w:bidi="hi-IN"/>
        </w:rPr>
        <w:t xml:space="preserve"> – ajakavas tuua välja peamised tegevused ja protsessid, sh vajalikud kooskõlastamised ja kinnitamised tellijaga;</w:t>
      </w:r>
    </w:p>
    <w:p w14:paraId="73EF97AE" w14:textId="79A88D5E" w:rsidR="00D70E2F" w:rsidRPr="00D84791" w:rsidRDefault="00D70E2F" w:rsidP="00E12360">
      <w:pPr>
        <w:pStyle w:val="Loendilik"/>
        <w:numPr>
          <w:ilvl w:val="0"/>
          <w:numId w:val="21"/>
        </w:numPr>
        <w:spacing w:line="276" w:lineRule="auto"/>
        <w:jc w:val="both"/>
        <w:rPr>
          <w:rFonts w:ascii="Times New Roman" w:hAnsi="Times New Roman" w:cs="Times New Roman"/>
          <w:sz w:val="24"/>
          <w:szCs w:val="24"/>
        </w:rPr>
      </w:pPr>
      <w:r w:rsidRPr="00D84791">
        <w:rPr>
          <w:rFonts w:ascii="Times New Roman" w:eastAsia="SimSun" w:hAnsi="Times New Roman" w:cs="Times New Roman"/>
          <w:kern w:val="1"/>
          <w:sz w:val="24"/>
          <w:szCs w:val="24"/>
          <w:lang w:eastAsia="zh-CN" w:bidi="hi-IN"/>
        </w:rPr>
        <w:t>meediastrateegia, mis sisaldab:</w:t>
      </w:r>
    </w:p>
    <w:p w14:paraId="1DC82EA4" w14:textId="1BD47F3E" w:rsidR="00927B82" w:rsidRPr="00D84791" w:rsidRDefault="008409BE" w:rsidP="00E12360">
      <w:pPr>
        <w:pStyle w:val="Loendilik"/>
        <w:widowControl w:val="0"/>
        <w:numPr>
          <w:ilvl w:val="1"/>
          <w:numId w:val="20"/>
        </w:numPr>
        <w:suppressAutoHyphens/>
        <w:spacing w:after="0" w:line="276" w:lineRule="auto"/>
        <w:jc w:val="both"/>
        <w:rPr>
          <w:rFonts w:ascii="Times New Roman" w:eastAsia="SimSun" w:hAnsi="Times New Roman" w:cs="Times New Roman"/>
          <w:kern w:val="1"/>
          <w:sz w:val="24"/>
          <w:szCs w:val="24"/>
          <w:lang w:eastAsia="zh-CN" w:bidi="hi-IN"/>
        </w:rPr>
      </w:pPr>
      <w:r w:rsidRPr="00D84791">
        <w:rPr>
          <w:rFonts w:ascii="Times New Roman" w:eastAsia="SimSun" w:hAnsi="Times New Roman" w:cs="Times New Roman"/>
          <w:kern w:val="1"/>
          <w:sz w:val="24"/>
          <w:szCs w:val="24"/>
          <w:lang w:eastAsia="zh-CN" w:bidi="hi-IN"/>
        </w:rPr>
        <w:t xml:space="preserve">kampaaniaplaani sh tasuliste </w:t>
      </w:r>
      <w:r w:rsidR="00D70E2F" w:rsidRPr="00D84791">
        <w:rPr>
          <w:rFonts w:ascii="Times New Roman" w:eastAsia="SimSun" w:hAnsi="Times New Roman" w:cs="Times New Roman"/>
          <w:kern w:val="1"/>
          <w:sz w:val="24"/>
          <w:szCs w:val="24"/>
          <w:lang w:eastAsia="zh-CN" w:bidi="hi-IN"/>
        </w:rPr>
        <w:t>meediapindade ja -kanalite valikut</w:t>
      </w:r>
      <w:r w:rsidRPr="00D84791">
        <w:rPr>
          <w:rFonts w:ascii="Times New Roman" w:eastAsia="SimSun" w:hAnsi="Times New Roman" w:cs="Times New Roman"/>
          <w:kern w:val="1"/>
          <w:sz w:val="24"/>
          <w:szCs w:val="24"/>
          <w:lang w:eastAsia="zh-CN" w:bidi="hi-IN"/>
        </w:rPr>
        <w:t xml:space="preserve"> ning juhul kui on olemas eelkokkulepped tasuta kanalitega, siis ka neid</w:t>
      </w:r>
      <w:r w:rsidR="00CB4470" w:rsidRPr="00D84791">
        <w:rPr>
          <w:rFonts w:ascii="Times New Roman" w:eastAsia="SimSun" w:hAnsi="Times New Roman" w:cs="Times New Roman"/>
          <w:kern w:val="1"/>
          <w:sz w:val="24"/>
          <w:szCs w:val="24"/>
          <w:lang w:eastAsia="zh-CN" w:bidi="hi-IN"/>
        </w:rPr>
        <w:t xml:space="preserve">. Kampaaniaplaan peab hõlmama järgnevat: </w:t>
      </w:r>
      <w:r w:rsidRPr="00D84791">
        <w:rPr>
          <w:rFonts w:ascii="Times New Roman" w:eastAsia="SimSun" w:hAnsi="Times New Roman" w:cs="Times New Roman"/>
          <w:kern w:val="1"/>
          <w:sz w:val="24"/>
          <w:szCs w:val="24"/>
          <w:lang w:eastAsia="zh-CN" w:bidi="hi-IN"/>
        </w:rPr>
        <w:t>meedium, kanal, formaat, keel, asukoht, periood, kogus, kontaktihind ja summa.</w:t>
      </w:r>
    </w:p>
    <w:p w14:paraId="2FA8039A" w14:textId="6CE31897" w:rsidR="00927B82" w:rsidRPr="00D84791" w:rsidRDefault="00D70E2F" w:rsidP="00E12360">
      <w:pPr>
        <w:pStyle w:val="Loendilik"/>
        <w:widowControl w:val="0"/>
        <w:numPr>
          <w:ilvl w:val="1"/>
          <w:numId w:val="20"/>
        </w:numPr>
        <w:suppressAutoHyphens/>
        <w:spacing w:after="0" w:line="276" w:lineRule="auto"/>
        <w:jc w:val="both"/>
        <w:rPr>
          <w:rFonts w:ascii="Times New Roman" w:eastAsia="SimSun" w:hAnsi="Times New Roman" w:cs="Times New Roman"/>
          <w:kern w:val="1"/>
          <w:sz w:val="24"/>
          <w:szCs w:val="24"/>
          <w:lang w:eastAsia="zh-CN" w:bidi="hi-IN"/>
        </w:rPr>
      </w:pPr>
      <w:r w:rsidRPr="00D84791">
        <w:rPr>
          <w:rFonts w:ascii="Times New Roman" w:eastAsia="SimSun" w:hAnsi="Times New Roman" w:cs="Times New Roman"/>
          <w:kern w:val="1"/>
          <w:sz w:val="24"/>
          <w:szCs w:val="24"/>
          <w:lang w:eastAsia="zh-CN" w:bidi="hi-IN"/>
        </w:rPr>
        <w:t>põhjend</w:t>
      </w:r>
      <w:r w:rsidR="00927B82" w:rsidRPr="00D84791">
        <w:rPr>
          <w:rFonts w:ascii="Times New Roman" w:eastAsia="SimSun" w:hAnsi="Times New Roman" w:cs="Times New Roman"/>
          <w:kern w:val="1"/>
          <w:sz w:val="24"/>
          <w:szCs w:val="24"/>
          <w:lang w:eastAsia="zh-CN" w:bidi="hi-IN"/>
        </w:rPr>
        <w:t>ust</w:t>
      </w:r>
      <w:r w:rsidRPr="00D84791">
        <w:rPr>
          <w:rFonts w:ascii="Times New Roman" w:eastAsia="SimSun" w:hAnsi="Times New Roman" w:cs="Times New Roman"/>
          <w:kern w:val="1"/>
          <w:sz w:val="24"/>
          <w:szCs w:val="24"/>
          <w:lang w:eastAsia="zh-CN" w:bidi="hi-IN"/>
        </w:rPr>
        <w:t xml:space="preserve">, miks </w:t>
      </w:r>
      <w:r w:rsidR="008409BE" w:rsidRPr="00D84791">
        <w:rPr>
          <w:rFonts w:ascii="Times New Roman" w:eastAsia="SimSun" w:hAnsi="Times New Roman" w:cs="Times New Roman"/>
          <w:kern w:val="1"/>
          <w:sz w:val="24"/>
          <w:szCs w:val="24"/>
          <w:lang w:eastAsia="zh-CN" w:bidi="hi-IN"/>
        </w:rPr>
        <w:t>erinevaid meedialiike</w:t>
      </w:r>
      <w:r w:rsidRPr="00D84791">
        <w:rPr>
          <w:rFonts w:ascii="Times New Roman" w:eastAsia="SimSun" w:hAnsi="Times New Roman" w:cs="Times New Roman"/>
          <w:kern w:val="1"/>
          <w:sz w:val="24"/>
          <w:szCs w:val="24"/>
          <w:lang w:eastAsia="zh-CN" w:bidi="hi-IN"/>
        </w:rPr>
        <w:t xml:space="preserve"> kasutatakse</w:t>
      </w:r>
      <w:r w:rsidR="00927B82" w:rsidRPr="00D84791">
        <w:rPr>
          <w:rFonts w:ascii="Times New Roman" w:eastAsia="SimSun" w:hAnsi="Times New Roman" w:cs="Times New Roman"/>
          <w:kern w:val="1"/>
          <w:sz w:val="24"/>
          <w:szCs w:val="24"/>
          <w:lang w:eastAsia="zh-CN" w:bidi="hi-IN"/>
        </w:rPr>
        <w:t xml:space="preserve"> ning </w:t>
      </w:r>
      <w:r w:rsidR="008409BE" w:rsidRPr="00D84791">
        <w:rPr>
          <w:rFonts w:ascii="Times New Roman" w:eastAsia="Times New Roman" w:hAnsi="Times New Roman" w:cs="Times New Roman"/>
          <w:color w:val="0D0D0D"/>
          <w:sz w:val="24"/>
          <w:szCs w:val="24"/>
          <w:shd w:val="clear" w:color="auto" w:fill="FFFFFF"/>
        </w:rPr>
        <w:t>kuidas aitavad need parimal moel kampaania eesmärke saavutada</w:t>
      </w:r>
      <w:r w:rsidR="00927B82" w:rsidRPr="00D84791">
        <w:rPr>
          <w:rFonts w:ascii="Times New Roman" w:eastAsia="SimSun" w:hAnsi="Times New Roman" w:cs="Times New Roman"/>
          <w:kern w:val="1"/>
          <w:sz w:val="24"/>
          <w:szCs w:val="24"/>
          <w:lang w:eastAsia="zh-CN" w:bidi="hi-IN"/>
        </w:rPr>
        <w:t>;</w:t>
      </w:r>
    </w:p>
    <w:p w14:paraId="39421F06" w14:textId="269B2FD1" w:rsidR="00927B82" w:rsidRPr="00D84791" w:rsidRDefault="00D70E2F" w:rsidP="00E12360">
      <w:pPr>
        <w:pStyle w:val="Loendilik"/>
        <w:widowControl w:val="0"/>
        <w:numPr>
          <w:ilvl w:val="1"/>
          <w:numId w:val="20"/>
        </w:numPr>
        <w:suppressAutoHyphens/>
        <w:spacing w:after="0" w:line="276" w:lineRule="auto"/>
        <w:jc w:val="both"/>
        <w:rPr>
          <w:rFonts w:ascii="Times New Roman" w:eastAsia="SimSun" w:hAnsi="Times New Roman" w:cs="Times New Roman"/>
          <w:kern w:val="1"/>
          <w:sz w:val="24"/>
          <w:szCs w:val="24"/>
          <w:lang w:eastAsia="zh-CN" w:bidi="hi-IN"/>
        </w:rPr>
      </w:pPr>
      <w:r w:rsidRPr="00D84791">
        <w:rPr>
          <w:rFonts w:ascii="Times New Roman" w:eastAsia="SimSun" w:hAnsi="Times New Roman" w:cs="Times New Roman"/>
          <w:kern w:val="1"/>
          <w:sz w:val="24"/>
          <w:szCs w:val="24"/>
          <w:lang w:eastAsia="zh-CN" w:bidi="hi-IN"/>
        </w:rPr>
        <w:t>eeldatava</w:t>
      </w:r>
      <w:r w:rsidR="00927B82" w:rsidRPr="00D84791">
        <w:rPr>
          <w:rFonts w:ascii="Times New Roman" w:eastAsia="SimSun" w:hAnsi="Times New Roman" w:cs="Times New Roman"/>
          <w:kern w:val="1"/>
          <w:sz w:val="24"/>
          <w:szCs w:val="24"/>
          <w:lang w:eastAsia="zh-CN" w:bidi="hi-IN"/>
        </w:rPr>
        <w:t>id</w:t>
      </w:r>
      <w:r w:rsidRPr="00D84791">
        <w:rPr>
          <w:rFonts w:ascii="Times New Roman" w:eastAsia="SimSun" w:hAnsi="Times New Roman" w:cs="Times New Roman"/>
          <w:kern w:val="1"/>
          <w:sz w:val="24"/>
          <w:szCs w:val="24"/>
          <w:lang w:eastAsia="zh-CN" w:bidi="hi-IN"/>
        </w:rPr>
        <w:t xml:space="preserve"> tulemus</w:t>
      </w:r>
      <w:r w:rsidR="00927B82" w:rsidRPr="00D84791">
        <w:rPr>
          <w:rFonts w:ascii="Times New Roman" w:eastAsia="SimSun" w:hAnsi="Times New Roman" w:cs="Times New Roman"/>
          <w:kern w:val="1"/>
          <w:sz w:val="24"/>
          <w:szCs w:val="24"/>
          <w:lang w:eastAsia="zh-CN" w:bidi="hi-IN"/>
        </w:rPr>
        <w:t>i</w:t>
      </w:r>
      <w:r w:rsidRPr="00D84791">
        <w:rPr>
          <w:rFonts w:ascii="Times New Roman" w:eastAsia="SimSun" w:hAnsi="Times New Roman" w:cs="Times New Roman"/>
          <w:kern w:val="1"/>
          <w:sz w:val="24"/>
          <w:szCs w:val="24"/>
          <w:lang w:eastAsia="zh-CN" w:bidi="hi-IN"/>
        </w:rPr>
        <w:t xml:space="preserve"> (katvus/nähtavus/näitamised/vaadatavus/klikid</w:t>
      </w:r>
      <w:r w:rsidR="00927B82" w:rsidRPr="00D84791">
        <w:rPr>
          <w:rFonts w:ascii="Times New Roman" w:eastAsia="SimSun" w:hAnsi="Times New Roman" w:cs="Times New Roman"/>
          <w:kern w:val="1"/>
          <w:sz w:val="24"/>
          <w:szCs w:val="24"/>
          <w:lang w:eastAsia="zh-CN" w:bidi="hi-IN"/>
        </w:rPr>
        <w:t xml:space="preserve"> </w:t>
      </w:r>
      <w:proofErr w:type="spellStart"/>
      <w:r w:rsidR="00927B82" w:rsidRPr="00D84791">
        <w:rPr>
          <w:rFonts w:ascii="Times New Roman" w:eastAsia="SimSun" w:hAnsi="Times New Roman" w:cs="Times New Roman"/>
          <w:kern w:val="1"/>
          <w:sz w:val="24"/>
          <w:szCs w:val="24"/>
          <w:lang w:eastAsia="zh-CN" w:bidi="hi-IN"/>
        </w:rPr>
        <w:t>vmt</w:t>
      </w:r>
      <w:proofErr w:type="spellEnd"/>
      <w:r w:rsidRPr="00D84791">
        <w:rPr>
          <w:rFonts w:ascii="Times New Roman" w:eastAsia="SimSun" w:hAnsi="Times New Roman" w:cs="Times New Roman"/>
          <w:kern w:val="1"/>
          <w:sz w:val="24"/>
          <w:szCs w:val="24"/>
          <w:lang w:eastAsia="zh-CN" w:bidi="hi-IN"/>
        </w:rPr>
        <w:t>)</w:t>
      </w:r>
      <w:r w:rsidR="00927B82" w:rsidRPr="00D84791">
        <w:rPr>
          <w:rFonts w:ascii="Times New Roman" w:eastAsia="SimSun" w:hAnsi="Times New Roman" w:cs="Times New Roman"/>
          <w:kern w:val="1"/>
          <w:sz w:val="24"/>
          <w:szCs w:val="24"/>
          <w:lang w:eastAsia="zh-CN" w:bidi="hi-IN"/>
        </w:rPr>
        <w:t>;</w:t>
      </w:r>
    </w:p>
    <w:p w14:paraId="234C1CC2" w14:textId="0519892C" w:rsidR="008409BE" w:rsidRPr="00D84791" w:rsidRDefault="008409BE" w:rsidP="00E12360">
      <w:pPr>
        <w:pStyle w:val="Loendilik"/>
        <w:widowControl w:val="0"/>
        <w:numPr>
          <w:ilvl w:val="1"/>
          <w:numId w:val="20"/>
        </w:numPr>
        <w:suppressAutoHyphens/>
        <w:spacing w:after="0" w:line="276" w:lineRule="auto"/>
        <w:jc w:val="both"/>
        <w:rPr>
          <w:rFonts w:ascii="Times New Roman" w:eastAsia="SimSun" w:hAnsi="Times New Roman" w:cs="Times New Roman"/>
          <w:kern w:val="1"/>
          <w:sz w:val="24"/>
          <w:szCs w:val="24"/>
          <w:lang w:eastAsia="zh-CN" w:bidi="hi-IN"/>
        </w:rPr>
      </w:pPr>
      <w:r w:rsidRPr="00D84791">
        <w:rPr>
          <w:rFonts w:ascii="Times New Roman" w:eastAsia="SimSun" w:hAnsi="Times New Roman" w:cs="Times New Roman"/>
          <w:kern w:val="1"/>
          <w:sz w:val="24"/>
          <w:szCs w:val="24"/>
          <w:lang w:eastAsia="zh-CN" w:bidi="hi-IN"/>
        </w:rPr>
        <w:t>kasutatavaid mõõdikuid ja metoodikat meediastrateegia tulemuste hindamiseks.</w:t>
      </w:r>
    </w:p>
    <w:p w14:paraId="1B57E704" w14:textId="164632E9" w:rsidR="009D30F4" w:rsidRPr="009D30F4" w:rsidRDefault="00D70E2F" w:rsidP="00E12360">
      <w:pPr>
        <w:spacing w:before="240" w:after="240" w:line="276" w:lineRule="auto"/>
        <w:jc w:val="both"/>
        <w:rPr>
          <w:rFonts w:ascii="Times New Roman" w:hAnsi="Times New Roman" w:cs="Times New Roman"/>
          <w:sz w:val="24"/>
          <w:szCs w:val="24"/>
        </w:rPr>
      </w:pPr>
      <w:r w:rsidRPr="00D84791">
        <w:rPr>
          <w:rFonts w:ascii="Times New Roman" w:hAnsi="Times New Roman" w:cs="Times New Roman"/>
          <w:sz w:val="24"/>
          <w:szCs w:val="24"/>
        </w:rPr>
        <w:t>Meediapindade ja kanalite valiku tegemisel tuleb arvestada, et kampaaniat ei tohi levitada meediapindadel või kanalites, mis edastavad Venemaa Föderatsiooni või muu agressorriigi propagandat või on oma olemuselt muud veebilehed, mille sisuline eesmärk on õhutada sõjalist tegevust ja agressiooni.</w:t>
      </w:r>
    </w:p>
    <w:p w14:paraId="5CBBE8E8" w14:textId="1412AB9F" w:rsidR="00473774" w:rsidRPr="00D84791" w:rsidRDefault="001C6919"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lastRenderedPageBreak/>
        <w:t>5</w:t>
      </w:r>
      <w:r w:rsidR="00473774" w:rsidRPr="00D84791">
        <w:rPr>
          <w:rFonts w:ascii="Times New Roman" w:hAnsi="Times New Roman" w:cs="Times New Roman"/>
          <w:sz w:val="24"/>
          <w:szCs w:val="24"/>
        </w:rPr>
        <w:t xml:space="preserve">.2. </w:t>
      </w:r>
      <w:r w:rsidR="00473774" w:rsidRPr="0068298C">
        <w:rPr>
          <w:rFonts w:ascii="Times New Roman" w:hAnsi="Times New Roman" w:cs="Times New Roman"/>
          <w:b/>
          <w:bCs/>
          <w:sz w:val="24"/>
          <w:szCs w:val="24"/>
        </w:rPr>
        <w:t>Pakkumuse esitamine</w:t>
      </w:r>
    </w:p>
    <w:p w14:paraId="2FE2F2DC" w14:textId="042EBE23" w:rsidR="00473774" w:rsidRPr="00D84791" w:rsidRDefault="001C6919"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5</w:t>
      </w:r>
      <w:r w:rsidR="00473774" w:rsidRPr="00D84791">
        <w:rPr>
          <w:rFonts w:ascii="Times New Roman" w:hAnsi="Times New Roman" w:cs="Times New Roman"/>
          <w:sz w:val="24"/>
          <w:szCs w:val="24"/>
        </w:rPr>
        <w:t>.2.1 Hankija aktsepteerib elektrooniliselt esitatavate pakkumuse dokumentide osas kõiki üldlevinud dokumendi formaate, nagu .</w:t>
      </w:r>
      <w:proofErr w:type="spellStart"/>
      <w:r w:rsidR="00473774" w:rsidRPr="00D84791">
        <w:rPr>
          <w:rFonts w:ascii="Times New Roman" w:hAnsi="Times New Roman" w:cs="Times New Roman"/>
          <w:sz w:val="24"/>
          <w:szCs w:val="24"/>
        </w:rPr>
        <w:t>pdf</w:t>
      </w:r>
      <w:proofErr w:type="spellEnd"/>
      <w:r w:rsidR="00473774" w:rsidRPr="00D84791">
        <w:rPr>
          <w:rFonts w:ascii="Times New Roman" w:hAnsi="Times New Roman" w:cs="Times New Roman"/>
          <w:sz w:val="24"/>
          <w:szCs w:val="24"/>
        </w:rPr>
        <w:t xml:space="preserve"> (</w:t>
      </w:r>
      <w:proofErr w:type="spellStart"/>
      <w:r w:rsidR="00473774" w:rsidRPr="00D84791">
        <w:rPr>
          <w:rFonts w:ascii="Times New Roman" w:hAnsi="Times New Roman" w:cs="Times New Roman"/>
          <w:sz w:val="24"/>
          <w:szCs w:val="24"/>
        </w:rPr>
        <w:t>Portable</w:t>
      </w:r>
      <w:proofErr w:type="spellEnd"/>
      <w:r w:rsidR="00473774" w:rsidRPr="00D84791">
        <w:rPr>
          <w:rFonts w:ascii="Times New Roman" w:hAnsi="Times New Roman" w:cs="Times New Roman"/>
          <w:sz w:val="24"/>
          <w:szCs w:val="24"/>
        </w:rPr>
        <w:t xml:space="preserve"> Document </w:t>
      </w:r>
      <w:proofErr w:type="spellStart"/>
      <w:r w:rsidR="00473774" w:rsidRPr="00D84791">
        <w:rPr>
          <w:rFonts w:ascii="Times New Roman" w:hAnsi="Times New Roman" w:cs="Times New Roman"/>
          <w:sz w:val="24"/>
          <w:szCs w:val="24"/>
        </w:rPr>
        <w:t>Format</w:t>
      </w:r>
      <w:proofErr w:type="spellEnd"/>
      <w:r w:rsidR="00473774" w:rsidRPr="00D84791">
        <w:rPr>
          <w:rFonts w:ascii="Times New Roman" w:hAnsi="Times New Roman" w:cs="Times New Roman"/>
          <w:sz w:val="24"/>
          <w:szCs w:val="24"/>
        </w:rPr>
        <w:t>), .</w:t>
      </w:r>
      <w:proofErr w:type="spellStart"/>
      <w:r w:rsidR="00473774" w:rsidRPr="00D84791">
        <w:rPr>
          <w:rFonts w:ascii="Times New Roman" w:hAnsi="Times New Roman" w:cs="Times New Roman"/>
          <w:sz w:val="24"/>
          <w:szCs w:val="24"/>
        </w:rPr>
        <w:t>rtf</w:t>
      </w:r>
      <w:proofErr w:type="spellEnd"/>
      <w:r w:rsidR="00473774" w:rsidRPr="00D84791">
        <w:rPr>
          <w:rFonts w:ascii="Times New Roman" w:hAnsi="Times New Roman" w:cs="Times New Roman"/>
          <w:sz w:val="24"/>
          <w:szCs w:val="24"/>
        </w:rPr>
        <w:t xml:space="preserve"> (</w:t>
      </w:r>
      <w:proofErr w:type="spellStart"/>
      <w:r w:rsidR="00473774" w:rsidRPr="00D84791">
        <w:rPr>
          <w:rFonts w:ascii="Times New Roman" w:hAnsi="Times New Roman" w:cs="Times New Roman"/>
          <w:sz w:val="24"/>
          <w:szCs w:val="24"/>
        </w:rPr>
        <w:t>RichTextFormat</w:t>
      </w:r>
      <w:proofErr w:type="spellEnd"/>
      <w:r w:rsidR="00473774" w:rsidRPr="00D84791">
        <w:rPr>
          <w:rFonts w:ascii="Times New Roman" w:hAnsi="Times New Roman" w:cs="Times New Roman"/>
          <w:sz w:val="24"/>
          <w:szCs w:val="24"/>
        </w:rPr>
        <w:t>), .</w:t>
      </w:r>
      <w:proofErr w:type="spellStart"/>
      <w:r w:rsidR="00473774" w:rsidRPr="00D84791">
        <w:rPr>
          <w:rFonts w:ascii="Times New Roman" w:hAnsi="Times New Roman" w:cs="Times New Roman"/>
          <w:sz w:val="24"/>
          <w:szCs w:val="24"/>
        </w:rPr>
        <w:t>odt</w:t>
      </w:r>
      <w:proofErr w:type="spellEnd"/>
      <w:r w:rsidR="00473774" w:rsidRPr="00D84791">
        <w:rPr>
          <w:rFonts w:ascii="Times New Roman" w:hAnsi="Times New Roman" w:cs="Times New Roman"/>
          <w:sz w:val="24"/>
          <w:szCs w:val="24"/>
        </w:rPr>
        <w:t xml:space="preserve"> (</w:t>
      </w:r>
      <w:proofErr w:type="spellStart"/>
      <w:r w:rsidR="00473774" w:rsidRPr="00D84791">
        <w:rPr>
          <w:rFonts w:ascii="Times New Roman" w:hAnsi="Times New Roman" w:cs="Times New Roman"/>
          <w:sz w:val="24"/>
          <w:szCs w:val="24"/>
        </w:rPr>
        <w:t>Open</w:t>
      </w:r>
      <w:proofErr w:type="spellEnd"/>
      <w:r w:rsidR="00473774" w:rsidRPr="00D84791">
        <w:rPr>
          <w:rFonts w:ascii="Times New Roman" w:hAnsi="Times New Roman" w:cs="Times New Roman"/>
          <w:sz w:val="24"/>
          <w:szCs w:val="24"/>
        </w:rPr>
        <w:t xml:space="preserve"> Office) ning ka MS Office formaate.</w:t>
      </w:r>
    </w:p>
    <w:p w14:paraId="308BAEF3" w14:textId="4DF8C745" w:rsidR="00473774" w:rsidRPr="00D84791" w:rsidRDefault="001C6919"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5</w:t>
      </w:r>
      <w:r w:rsidR="00473774" w:rsidRPr="00D84791">
        <w:rPr>
          <w:rFonts w:ascii="Times New Roman" w:hAnsi="Times New Roman" w:cs="Times New Roman"/>
          <w:sz w:val="24"/>
          <w:szCs w:val="24"/>
        </w:rPr>
        <w:t>.2.2 Pakkuja kannab kõik pakkumuse ettevalmistamisega ning esitamisega seotud kulud.</w:t>
      </w:r>
    </w:p>
    <w:p w14:paraId="79C36FA0" w14:textId="420F0D07" w:rsidR="00473774" w:rsidRPr="00D84791" w:rsidRDefault="001C6919"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5</w:t>
      </w:r>
      <w:r w:rsidR="00473774" w:rsidRPr="00D84791">
        <w:rPr>
          <w:rFonts w:ascii="Times New Roman" w:hAnsi="Times New Roman" w:cs="Times New Roman"/>
          <w:sz w:val="24"/>
          <w:szCs w:val="24"/>
        </w:rPr>
        <w:t>.2.3 Hankija koostab pakkumuste hindamise kohta protokolli.</w:t>
      </w:r>
    </w:p>
    <w:p w14:paraId="599E34AD" w14:textId="10410801" w:rsidR="00473774" w:rsidRPr="00D84791" w:rsidRDefault="001C6919"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5</w:t>
      </w:r>
      <w:r w:rsidR="00473774" w:rsidRPr="00D84791">
        <w:rPr>
          <w:rFonts w:ascii="Times New Roman" w:hAnsi="Times New Roman" w:cs="Times New Roman"/>
          <w:sz w:val="24"/>
          <w:szCs w:val="24"/>
        </w:rPr>
        <w:t>.2.4 Hankija ei rakenda hankelepingu sõlmimisel ooteaega.</w:t>
      </w:r>
    </w:p>
    <w:p w14:paraId="2557ABE3" w14:textId="7884F603" w:rsidR="00473774" w:rsidRPr="00D84791" w:rsidRDefault="001C6919"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5</w:t>
      </w:r>
      <w:r w:rsidR="00473774" w:rsidRPr="00D84791">
        <w:rPr>
          <w:rFonts w:ascii="Times New Roman" w:hAnsi="Times New Roman" w:cs="Times New Roman"/>
          <w:sz w:val="24"/>
          <w:szCs w:val="24"/>
        </w:rPr>
        <w:t xml:space="preserve">.2.5 Pakkumuste esitamise </w:t>
      </w:r>
      <w:r w:rsidR="00473774" w:rsidRPr="00EE3B47">
        <w:rPr>
          <w:rFonts w:ascii="Times New Roman" w:hAnsi="Times New Roman" w:cs="Times New Roman"/>
          <w:sz w:val="24"/>
          <w:szCs w:val="24"/>
        </w:rPr>
        <w:t xml:space="preserve">tähtaeg on </w:t>
      </w:r>
      <w:r w:rsidR="00EE3B47" w:rsidRPr="00EE3B47">
        <w:rPr>
          <w:rFonts w:ascii="Times New Roman" w:hAnsi="Times New Roman" w:cs="Times New Roman"/>
          <w:b/>
          <w:bCs/>
          <w:sz w:val="24"/>
          <w:szCs w:val="24"/>
        </w:rPr>
        <w:t>20</w:t>
      </w:r>
      <w:r w:rsidR="00473774" w:rsidRPr="00EE3B47">
        <w:rPr>
          <w:rFonts w:ascii="Times New Roman" w:hAnsi="Times New Roman" w:cs="Times New Roman"/>
          <w:b/>
          <w:bCs/>
          <w:sz w:val="24"/>
          <w:szCs w:val="24"/>
        </w:rPr>
        <w:t>.</w:t>
      </w:r>
      <w:r w:rsidR="00EE3B47" w:rsidRPr="00EE3B47">
        <w:rPr>
          <w:rFonts w:ascii="Times New Roman" w:hAnsi="Times New Roman" w:cs="Times New Roman"/>
          <w:b/>
          <w:bCs/>
          <w:sz w:val="24"/>
          <w:szCs w:val="24"/>
        </w:rPr>
        <w:t>02</w:t>
      </w:r>
      <w:r w:rsidR="00EE3B47">
        <w:rPr>
          <w:rFonts w:ascii="Times New Roman" w:hAnsi="Times New Roman" w:cs="Times New Roman"/>
          <w:b/>
          <w:bCs/>
          <w:sz w:val="24"/>
          <w:szCs w:val="24"/>
        </w:rPr>
        <w:t>.</w:t>
      </w:r>
      <w:r w:rsidR="00473774" w:rsidRPr="00EE3B47">
        <w:rPr>
          <w:rFonts w:ascii="Times New Roman" w:hAnsi="Times New Roman" w:cs="Times New Roman"/>
          <w:b/>
          <w:bCs/>
          <w:sz w:val="24"/>
          <w:szCs w:val="24"/>
        </w:rPr>
        <w:t>202</w:t>
      </w:r>
      <w:r w:rsidR="00EE3B47" w:rsidRPr="00EE3B47">
        <w:rPr>
          <w:rFonts w:ascii="Times New Roman" w:hAnsi="Times New Roman" w:cs="Times New Roman"/>
          <w:b/>
          <w:bCs/>
          <w:sz w:val="24"/>
          <w:szCs w:val="24"/>
        </w:rPr>
        <w:t>6</w:t>
      </w:r>
      <w:r w:rsidR="00AF27E9" w:rsidRPr="00EE3B47">
        <w:rPr>
          <w:rFonts w:ascii="Times New Roman" w:hAnsi="Times New Roman" w:cs="Times New Roman"/>
          <w:b/>
          <w:bCs/>
          <w:sz w:val="24"/>
          <w:szCs w:val="24"/>
        </w:rPr>
        <w:t xml:space="preserve"> kell</w:t>
      </w:r>
      <w:r w:rsidR="00473774" w:rsidRPr="00EE3B47">
        <w:rPr>
          <w:rFonts w:ascii="Times New Roman" w:hAnsi="Times New Roman" w:cs="Times New Roman"/>
          <w:b/>
          <w:bCs/>
          <w:sz w:val="24"/>
          <w:szCs w:val="24"/>
        </w:rPr>
        <w:t xml:space="preserve"> 23.59</w:t>
      </w:r>
      <w:r w:rsidR="00473774" w:rsidRPr="00EE3B47">
        <w:rPr>
          <w:rFonts w:ascii="Times New Roman" w:hAnsi="Times New Roman" w:cs="Times New Roman"/>
          <w:sz w:val="24"/>
          <w:szCs w:val="24"/>
        </w:rPr>
        <w:t>. P</w:t>
      </w:r>
      <w:r w:rsidR="00473774" w:rsidRPr="00D84791">
        <w:rPr>
          <w:rFonts w:ascii="Times New Roman" w:hAnsi="Times New Roman" w:cs="Times New Roman"/>
          <w:sz w:val="24"/>
          <w:szCs w:val="24"/>
        </w:rPr>
        <w:t xml:space="preserve">akkumused esitatakse e-posti aadressile </w:t>
      </w:r>
      <w:hyperlink r:id="rId12" w:history="1">
        <w:r w:rsidR="00473774" w:rsidRPr="00D84791">
          <w:rPr>
            <w:rStyle w:val="Hperlink"/>
            <w:rFonts w:ascii="Times New Roman" w:hAnsi="Times New Roman" w:cs="Times New Roman"/>
            <w:sz w:val="24"/>
            <w:szCs w:val="24"/>
          </w:rPr>
          <w:t>press@ttja.ee</w:t>
        </w:r>
      </w:hyperlink>
      <w:r w:rsidR="00B56C98">
        <w:t>.</w:t>
      </w:r>
    </w:p>
    <w:p w14:paraId="2F69F18B" w14:textId="359FE636" w:rsidR="00473774" w:rsidRDefault="001C6919"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5</w:t>
      </w:r>
      <w:r w:rsidR="00473774" w:rsidRPr="00D84791">
        <w:rPr>
          <w:rFonts w:ascii="Times New Roman" w:hAnsi="Times New Roman" w:cs="Times New Roman"/>
          <w:sz w:val="24"/>
          <w:szCs w:val="24"/>
        </w:rPr>
        <w:t>.2.6 Eelkirjeldatud nõuetele mittevastavaid, sh hilinenult esitatud pakkumusi arvesse ei võeta.</w:t>
      </w:r>
    </w:p>
    <w:p w14:paraId="0E641F51" w14:textId="4F3858E8" w:rsidR="00473774" w:rsidRPr="00D84791" w:rsidRDefault="001C6919"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5</w:t>
      </w:r>
      <w:r w:rsidR="00473774" w:rsidRPr="00D84791">
        <w:rPr>
          <w:rFonts w:ascii="Times New Roman" w:hAnsi="Times New Roman" w:cs="Times New Roman"/>
          <w:sz w:val="24"/>
          <w:szCs w:val="24"/>
        </w:rPr>
        <w:t xml:space="preserve">.3   </w:t>
      </w:r>
      <w:r w:rsidR="00473774" w:rsidRPr="0068298C">
        <w:rPr>
          <w:rFonts w:ascii="Times New Roman" w:hAnsi="Times New Roman" w:cs="Times New Roman"/>
          <w:b/>
          <w:bCs/>
          <w:sz w:val="24"/>
          <w:szCs w:val="24"/>
        </w:rPr>
        <w:t>Pakkumuste hindamine</w:t>
      </w:r>
    </w:p>
    <w:p w14:paraId="72032EAC" w14:textId="532C8931" w:rsidR="00B56C98"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Hindamiskomisjon hindab nõuetele vastavaid pakkumusi allolevas tabelis toodud hindamiskriteeriumite alusel, mille osakaalud on järgmised:</w:t>
      </w:r>
    </w:p>
    <w:tbl>
      <w:tblPr>
        <w:tblW w:w="0" w:type="auto"/>
        <w:tblCellMar>
          <w:top w:w="15" w:type="dxa"/>
          <w:left w:w="15" w:type="dxa"/>
          <w:bottom w:w="15" w:type="dxa"/>
          <w:right w:w="15" w:type="dxa"/>
        </w:tblCellMar>
        <w:tblLook w:val="04A0" w:firstRow="1" w:lastRow="0" w:firstColumn="1" w:lastColumn="0" w:noHBand="0" w:noVBand="1"/>
      </w:tblPr>
      <w:tblGrid>
        <w:gridCol w:w="5048"/>
        <w:gridCol w:w="1501"/>
      </w:tblGrid>
      <w:tr w:rsidR="00473774" w:rsidRPr="00D84791" w14:paraId="2ACDB60E" w14:textId="77777777" w:rsidTr="00D23C31">
        <w:trPr>
          <w:trHeight w:val="450"/>
        </w:trPr>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7AA0EE49" w14:textId="77777777"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b/>
                <w:bCs/>
                <w:sz w:val="24"/>
                <w:szCs w:val="24"/>
              </w:rPr>
              <w:t>Kriteerium</w:t>
            </w:r>
          </w:p>
        </w:tc>
        <w:tc>
          <w:tcPr>
            <w:tcW w:w="0" w:type="auto"/>
            <w:tcBorders>
              <w:top w:val="single" w:sz="6" w:space="0" w:color="000000"/>
              <w:left w:val="single" w:sz="6" w:space="0" w:color="000000"/>
              <w:bottom w:val="single" w:sz="6" w:space="0" w:color="000000"/>
              <w:right w:val="single" w:sz="6" w:space="0" w:color="000000"/>
            </w:tcBorders>
            <w:shd w:val="clear" w:color="auto" w:fill="D9D9D9"/>
            <w:tcMar>
              <w:top w:w="0" w:type="dxa"/>
              <w:left w:w="100" w:type="dxa"/>
              <w:bottom w:w="0" w:type="dxa"/>
              <w:right w:w="100" w:type="dxa"/>
            </w:tcMar>
            <w:hideMark/>
          </w:tcPr>
          <w:p w14:paraId="0AE26873" w14:textId="77777777"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b/>
                <w:bCs/>
                <w:sz w:val="24"/>
                <w:szCs w:val="24"/>
              </w:rPr>
              <w:t>Osakaal (%)</w:t>
            </w:r>
          </w:p>
        </w:tc>
      </w:tr>
      <w:tr w:rsidR="00473774" w:rsidRPr="00D84791" w14:paraId="4E47BB1F" w14:textId="77777777" w:rsidTr="00D23C31">
        <w:trPr>
          <w:trHeight w:val="450"/>
        </w:trPr>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0D949BDD" w14:textId="77777777"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Töö kirjelduse vastavus hanke eesmärgile ja sisule</w:t>
            </w:r>
          </w:p>
        </w:tc>
        <w:tc>
          <w:tcPr>
            <w:tcW w:w="0" w:type="auto"/>
            <w:tcBorders>
              <w:top w:val="single" w:sz="6" w:space="0" w:color="000000"/>
              <w:left w:val="single" w:sz="6" w:space="0" w:color="000000"/>
              <w:bottom w:val="single" w:sz="6" w:space="0" w:color="000000"/>
              <w:right w:val="single" w:sz="6" w:space="0" w:color="000000"/>
            </w:tcBorders>
            <w:tcMar>
              <w:top w:w="0" w:type="dxa"/>
              <w:left w:w="100" w:type="dxa"/>
              <w:bottom w:w="0" w:type="dxa"/>
              <w:right w:w="100" w:type="dxa"/>
            </w:tcMar>
            <w:hideMark/>
          </w:tcPr>
          <w:p w14:paraId="192C29AE" w14:textId="6AED35E4" w:rsidR="00473774" w:rsidRPr="00D84791" w:rsidRDefault="0068298C" w:rsidP="00E12360">
            <w:pPr>
              <w:spacing w:line="276" w:lineRule="auto"/>
              <w:jc w:val="both"/>
              <w:rPr>
                <w:rFonts w:ascii="Times New Roman" w:hAnsi="Times New Roman" w:cs="Times New Roman"/>
                <w:sz w:val="24"/>
                <w:szCs w:val="24"/>
              </w:rPr>
            </w:pPr>
            <w:r>
              <w:rPr>
                <w:rFonts w:ascii="Times New Roman" w:hAnsi="Times New Roman" w:cs="Times New Roman"/>
                <w:sz w:val="24"/>
                <w:szCs w:val="24"/>
              </w:rPr>
              <w:t>10</w:t>
            </w:r>
            <w:r w:rsidR="00473774" w:rsidRPr="00D84791">
              <w:rPr>
                <w:rFonts w:ascii="Times New Roman" w:hAnsi="Times New Roman" w:cs="Times New Roman"/>
                <w:sz w:val="24"/>
                <w:szCs w:val="24"/>
              </w:rPr>
              <w:t>0</w:t>
            </w:r>
          </w:p>
        </w:tc>
      </w:tr>
    </w:tbl>
    <w:p w14:paraId="7AD47F89" w14:textId="77777777"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Kriteeriumite hindamine toimub alljärgnevalt:</w:t>
      </w:r>
    </w:p>
    <w:p w14:paraId="6CD206F3" w14:textId="7F227B42" w:rsidR="00FA299E" w:rsidRPr="00D84791" w:rsidRDefault="001C6919"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5</w:t>
      </w:r>
      <w:r w:rsidR="00473774" w:rsidRPr="00D84791">
        <w:rPr>
          <w:rFonts w:ascii="Times New Roman" w:hAnsi="Times New Roman" w:cs="Times New Roman"/>
          <w:sz w:val="24"/>
          <w:szCs w:val="24"/>
        </w:rPr>
        <w:t>.3.</w:t>
      </w:r>
      <w:r w:rsidR="001A1630">
        <w:rPr>
          <w:rFonts w:ascii="Times New Roman" w:hAnsi="Times New Roman" w:cs="Times New Roman"/>
          <w:sz w:val="24"/>
          <w:szCs w:val="24"/>
        </w:rPr>
        <w:t>1</w:t>
      </w:r>
      <w:r w:rsidR="00473774" w:rsidRPr="00D84791">
        <w:rPr>
          <w:rFonts w:ascii="Times New Roman" w:hAnsi="Times New Roman" w:cs="Times New Roman"/>
          <w:sz w:val="24"/>
          <w:szCs w:val="24"/>
        </w:rPr>
        <w:t xml:space="preserve">. </w:t>
      </w:r>
      <w:r w:rsidR="00473774" w:rsidRPr="00D84791">
        <w:rPr>
          <w:rFonts w:ascii="Times New Roman" w:hAnsi="Times New Roman" w:cs="Times New Roman"/>
          <w:b/>
          <w:bCs/>
          <w:sz w:val="24"/>
          <w:szCs w:val="24"/>
        </w:rPr>
        <w:t>Töö kirjelduse</w:t>
      </w:r>
      <w:r w:rsidR="00FA299E" w:rsidRPr="00D84791">
        <w:rPr>
          <w:rFonts w:ascii="Times New Roman" w:hAnsi="Times New Roman" w:cs="Times New Roman"/>
          <w:b/>
          <w:bCs/>
          <w:sz w:val="24"/>
          <w:szCs w:val="24"/>
        </w:rPr>
        <w:t xml:space="preserve"> ja meediastrateegia</w:t>
      </w:r>
      <w:r w:rsidR="00473774" w:rsidRPr="00D84791">
        <w:rPr>
          <w:rFonts w:ascii="Times New Roman" w:hAnsi="Times New Roman" w:cs="Times New Roman"/>
          <w:b/>
          <w:bCs/>
          <w:sz w:val="24"/>
          <w:szCs w:val="24"/>
        </w:rPr>
        <w:t xml:space="preserve"> vastavus hanke eesmärgile ja sisule</w:t>
      </w:r>
      <w:r w:rsidR="00FA299E" w:rsidRPr="00D84791">
        <w:rPr>
          <w:rFonts w:ascii="Times New Roman" w:hAnsi="Times New Roman" w:cs="Times New Roman"/>
          <w:b/>
          <w:bCs/>
          <w:sz w:val="24"/>
          <w:szCs w:val="24"/>
        </w:rPr>
        <w:t xml:space="preserve">, osakaaluga </w:t>
      </w:r>
      <w:r w:rsidR="0068298C">
        <w:rPr>
          <w:rFonts w:ascii="Times New Roman" w:hAnsi="Times New Roman" w:cs="Times New Roman"/>
          <w:b/>
          <w:bCs/>
          <w:sz w:val="24"/>
          <w:szCs w:val="24"/>
        </w:rPr>
        <w:t>10</w:t>
      </w:r>
      <w:r w:rsidR="00FA299E" w:rsidRPr="00D84791">
        <w:rPr>
          <w:rFonts w:ascii="Times New Roman" w:hAnsi="Times New Roman" w:cs="Times New Roman"/>
          <w:b/>
          <w:bCs/>
          <w:sz w:val="24"/>
          <w:szCs w:val="24"/>
        </w:rPr>
        <w:t>0%</w:t>
      </w:r>
      <w:r w:rsidR="00473774" w:rsidRPr="00D84791">
        <w:rPr>
          <w:rFonts w:ascii="Times New Roman" w:hAnsi="Times New Roman" w:cs="Times New Roman"/>
          <w:sz w:val="24"/>
          <w:szCs w:val="24"/>
        </w:rPr>
        <w:t>.</w:t>
      </w:r>
    </w:p>
    <w:p w14:paraId="66014008" w14:textId="70E05920"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Maksimaalne pakkumusele töö kirjelduse vastavuse osas omistatav punktide arv on </w:t>
      </w:r>
      <w:r w:rsidR="0068298C">
        <w:rPr>
          <w:rFonts w:ascii="Times New Roman" w:hAnsi="Times New Roman" w:cs="Times New Roman"/>
          <w:sz w:val="24"/>
          <w:szCs w:val="24"/>
        </w:rPr>
        <w:t>10</w:t>
      </w:r>
      <w:r w:rsidRPr="00D84791">
        <w:rPr>
          <w:rFonts w:ascii="Times New Roman" w:hAnsi="Times New Roman" w:cs="Times New Roman"/>
          <w:sz w:val="24"/>
          <w:szCs w:val="24"/>
        </w:rPr>
        <w:t>0 (kriteeriumi osakaal).</w:t>
      </w:r>
    </w:p>
    <w:p w14:paraId="59027069" w14:textId="2E0C75B1"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Töö kirjeldus</w:t>
      </w:r>
      <w:r w:rsidR="00FA299E" w:rsidRPr="00D84791">
        <w:rPr>
          <w:rFonts w:ascii="Times New Roman" w:hAnsi="Times New Roman" w:cs="Times New Roman"/>
          <w:sz w:val="24"/>
          <w:szCs w:val="24"/>
        </w:rPr>
        <w:t xml:space="preserve">t ja meediastrateegiat </w:t>
      </w:r>
      <w:r w:rsidRPr="00D84791">
        <w:rPr>
          <w:rFonts w:ascii="Times New Roman" w:hAnsi="Times New Roman" w:cs="Times New Roman"/>
          <w:sz w:val="24"/>
          <w:szCs w:val="24"/>
        </w:rPr>
        <w:t>hindavad hankekomisjoni liikmed eraldi. Hindamiskomisjoni liikmete poolt omistatud väärtuspunktidest pakkumusele arvutatakse aritmeetiline keskmine.</w:t>
      </w:r>
    </w:p>
    <w:p w14:paraId="02C25BE7" w14:textId="754C5C45" w:rsidR="00272EBF" w:rsidRPr="00D84791" w:rsidRDefault="00FA299E"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Pakkumuses sisalduv</w:t>
      </w:r>
      <w:r w:rsidR="00473774" w:rsidRPr="00D84791">
        <w:rPr>
          <w:rFonts w:ascii="Times New Roman" w:hAnsi="Times New Roman" w:cs="Times New Roman"/>
          <w:sz w:val="24"/>
          <w:szCs w:val="24"/>
        </w:rPr>
        <w:t xml:space="preserve"> peab andma hankijale kindluse, et pakkuja mõistab lähteülesannet ja </w:t>
      </w:r>
      <w:r w:rsidRPr="00D84791">
        <w:rPr>
          <w:rFonts w:ascii="Times New Roman" w:hAnsi="Times New Roman" w:cs="Times New Roman"/>
          <w:sz w:val="24"/>
          <w:szCs w:val="24"/>
        </w:rPr>
        <w:t>teavituskampaania</w:t>
      </w:r>
      <w:r w:rsidR="00473774" w:rsidRPr="00D84791">
        <w:rPr>
          <w:rFonts w:ascii="Times New Roman" w:hAnsi="Times New Roman" w:cs="Times New Roman"/>
          <w:sz w:val="24"/>
          <w:szCs w:val="24"/>
        </w:rPr>
        <w:t xml:space="preserve"> eesmärke ning suudab tagada töö teostamise vastavalt hankelepingule, sh selle osaks olevale lähteülesandele.</w:t>
      </w:r>
    </w:p>
    <w:p w14:paraId="47AE3FF2" w14:textId="2B8973CF" w:rsidR="009F2930" w:rsidRDefault="00FA299E" w:rsidP="00E12360">
      <w:pPr>
        <w:widowControl w:val="0"/>
        <w:suppressAutoHyphens/>
        <w:spacing w:line="276" w:lineRule="auto"/>
        <w:jc w:val="both"/>
        <w:rPr>
          <w:rFonts w:ascii="Times New Roman" w:eastAsia="SimSun" w:hAnsi="Times New Roman" w:cs="Times New Roman"/>
          <w:kern w:val="1"/>
          <w:sz w:val="24"/>
          <w:szCs w:val="24"/>
          <w:lang w:eastAsia="zh-CN" w:bidi="hi-IN"/>
        </w:rPr>
      </w:pPr>
      <w:r w:rsidRPr="00D84791">
        <w:rPr>
          <w:rFonts w:ascii="Times New Roman" w:eastAsia="SimSun" w:hAnsi="Times New Roman" w:cs="Times New Roman"/>
          <w:kern w:val="1"/>
          <w:sz w:val="24"/>
          <w:szCs w:val="24"/>
          <w:lang w:eastAsia="zh-CN" w:bidi="hi-IN"/>
        </w:rPr>
        <w:t xml:space="preserve">Hindamiskomisjon omistab töö kirjelduse ja meediastrateegia vastavusele hanke eesmärgile punkte alljärgnevalt: </w:t>
      </w:r>
    </w:p>
    <w:tbl>
      <w:tblPr>
        <w:tblStyle w:val="Kontuurtabel"/>
        <w:tblW w:w="0" w:type="auto"/>
        <w:tblLook w:val="04A0" w:firstRow="1" w:lastRow="0" w:firstColumn="1" w:lastColumn="0" w:noHBand="0" w:noVBand="1"/>
      </w:tblPr>
      <w:tblGrid>
        <w:gridCol w:w="4531"/>
        <w:gridCol w:w="4531"/>
      </w:tblGrid>
      <w:tr w:rsidR="009F2930" w14:paraId="4952ABA4" w14:textId="77777777" w:rsidTr="009F2930">
        <w:tc>
          <w:tcPr>
            <w:tcW w:w="4531" w:type="dxa"/>
          </w:tcPr>
          <w:p w14:paraId="2ED20798" w14:textId="58BFA035" w:rsidR="009F2930" w:rsidRPr="009F2930" w:rsidRDefault="009F2930" w:rsidP="00E12360">
            <w:pPr>
              <w:widowControl w:val="0"/>
              <w:suppressAutoHyphens/>
              <w:spacing w:line="276" w:lineRule="auto"/>
              <w:jc w:val="both"/>
              <w:rPr>
                <w:rFonts w:ascii="Times New Roman" w:eastAsia="SimSun" w:hAnsi="Times New Roman" w:cs="Times New Roman"/>
                <w:b/>
                <w:bCs/>
                <w:kern w:val="1"/>
                <w:sz w:val="24"/>
                <w:szCs w:val="24"/>
                <w:lang w:eastAsia="zh-CN" w:bidi="hi-IN"/>
              </w:rPr>
            </w:pPr>
            <w:r w:rsidRPr="009F2930">
              <w:rPr>
                <w:rFonts w:ascii="Times New Roman" w:eastAsia="SimSun" w:hAnsi="Times New Roman" w:cs="Times New Roman"/>
                <w:b/>
                <w:bCs/>
                <w:kern w:val="1"/>
                <w:sz w:val="24"/>
                <w:szCs w:val="24"/>
                <w:lang w:eastAsia="zh-CN" w:bidi="hi-IN"/>
              </w:rPr>
              <w:t>Hindamis</w:t>
            </w:r>
            <w:r>
              <w:rPr>
                <w:rFonts w:ascii="Times New Roman" w:eastAsia="SimSun" w:hAnsi="Times New Roman" w:cs="Times New Roman"/>
                <w:b/>
                <w:bCs/>
                <w:kern w:val="1"/>
                <w:sz w:val="24"/>
                <w:szCs w:val="24"/>
                <w:lang w:eastAsia="zh-CN" w:bidi="hi-IN"/>
              </w:rPr>
              <w:t>e ala</w:t>
            </w:r>
            <w:r w:rsidRPr="009F2930">
              <w:rPr>
                <w:rFonts w:ascii="Times New Roman" w:eastAsia="SimSun" w:hAnsi="Times New Roman" w:cs="Times New Roman"/>
                <w:b/>
                <w:bCs/>
                <w:kern w:val="1"/>
                <w:sz w:val="24"/>
                <w:szCs w:val="24"/>
                <w:lang w:eastAsia="zh-CN" w:bidi="hi-IN"/>
              </w:rPr>
              <w:t>kriteerium</w:t>
            </w:r>
          </w:p>
        </w:tc>
        <w:tc>
          <w:tcPr>
            <w:tcW w:w="4531" w:type="dxa"/>
          </w:tcPr>
          <w:p w14:paraId="4A7A1A60" w14:textId="7665C65A" w:rsidR="009F2930" w:rsidRPr="009F2930" w:rsidRDefault="009F2930" w:rsidP="00E12360">
            <w:pPr>
              <w:widowControl w:val="0"/>
              <w:suppressAutoHyphens/>
              <w:spacing w:line="276" w:lineRule="auto"/>
              <w:jc w:val="both"/>
              <w:rPr>
                <w:rFonts w:ascii="Times New Roman" w:eastAsia="SimSun" w:hAnsi="Times New Roman" w:cs="Times New Roman"/>
                <w:b/>
                <w:bCs/>
                <w:kern w:val="1"/>
                <w:sz w:val="24"/>
                <w:szCs w:val="24"/>
                <w:lang w:eastAsia="zh-CN" w:bidi="hi-IN"/>
              </w:rPr>
            </w:pPr>
            <w:r w:rsidRPr="009F2930">
              <w:rPr>
                <w:rFonts w:ascii="Times New Roman" w:eastAsia="SimSun" w:hAnsi="Times New Roman" w:cs="Times New Roman"/>
                <w:b/>
                <w:bCs/>
                <w:kern w:val="1"/>
                <w:sz w:val="24"/>
                <w:szCs w:val="24"/>
                <w:lang w:eastAsia="zh-CN" w:bidi="hi-IN"/>
              </w:rPr>
              <w:t>Maksimaalne väärtuspunktide arv</w:t>
            </w:r>
          </w:p>
        </w:tc>
      </w:tr>
      <w:tr w:rsidR="009F2930" w14:paraId="7D1BD77B" w14:textId="77777777" w:rsidTr="009F2930">
        <w:tc>
          <w:tcPr>
            <w:tcW w:w="4531" w:type="dxa"/>
          </w:tcPr>
          <w:p w14:paraId="605F8320" w14:textId="7BD3B703" w:rsidR="009F2930" w:rsidRDefault="009F2930" w:rsidP="00E12360">
            <w:pPr>
              <w:widowControl w:val="0"/>
              <w:suppressAutoHyphens/>
              <w:spacing w:line="276"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Loovlahendus</w:t>
            </w:r>
          </w:p>
        </w:tc>
        <w:tc>
          <w:tcPr>
            <w:tcW w:w="4531" w:type="dxa"/>
          </w:tcPr>
          <w:p w14:paraId="4B364C59" w14:textId="7A522988" w:rsidR="009F2930" w:rsidRDefault="009F2930" w:rsidP="00E12360">
            <w:pPr>
              <w:widowControl w:val="0"/>
              <w:suppressAutoHyphens/>
              <w:spacing w:line="276"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30</w:t>
            </w:r>
          </w:p>
        </w:tc>
      </w:tr>
      <w:tr w:rsidR="009F2930" w14:paraId="4984C6F3" w14:textId="77777777" w:rsidTr="009F2930">
        <w:tc>
          <w:tcPr>
            <w:tcW w:w="4531" w:type="dxa"/>
          </w:tcPr>
          <w:p w14:paraId="30269221" w14:textId="333A0668" w:rsidR="009F2930" w:rsidRDefault="009F2930" w:rsidP="00E12360">
            <w:pPr>
              <w:widowControl w:val="0"/>
              <w:suppressAutoHyphens/>
              <w:spacing w:line="276"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Meediastrateegia</w:t>
            </w:r>
          </w:p>
        </w:tc>
        <w:tc>
          <w:tcPr>
            <w:tcW w:w="4531" w:type="dxa"/>
          </w:tcPr>
          <w:p w14:paraId="52C0CCFC" w14:textId="35BF116B" w:rsidR="009F2930" w:rsidRDefault="009F2930" w:rsidP="00E12360">
            <w:pPr>
              <w:widowControl w:val="0"/>
              <w:suppressAutoHyphens/>
              <w:spacing w:line="276"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30</w:t>
            </w:r>
          </w:p>
        </w:tc>
      </w:tr>
      <w:tr w:rsidR="009F2930" w14:paraId="3C27E73C" w14:textId="77777777" w:rsidTr="009F2930">
        <w:tc>
          <w:tcPr>
            <w:tcW w:w="4531" w:type="dxa"/>
          </w:tcPr>
          <w:p w14:paraId="05D1253C" w14:textId="6F67530A" w:rsidR="009F2930" w:rsidRDefault="009F2930" w:rsidP="00E12360">
            <w:pPr>
              <w:widowControl w:val="0"/>
              <w:suppressAutoHyphens/>
              <w:spacing w:line="276"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Ajakava</w:t>
            </w:r>
          </w:p>
        </w:tc>
        <w:tc>
          <w:tcPr>
            <w:tcW w:w="4531" w:type="dxa"/>
          </w:tcPr>
          <w:p w14:paraId="438E10D0" w14:textId="2E173E0F" w:rsidR="009F2930" w:rsidRDefault="009F2930" w:rsidP="00E12360">
            <w:pPr>
              <w:widowControl w:val="0"/>
              <w:suppressAutoHyphens/>
              <w:spacing w:line="276"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20</w:t>
            </w:r>
          </w:p>
        </w:tc>
      </w:tr>
      <w:tr w:rsidR="009F2930" w14:paraId="6A846EDE" w14:textId="77777777" w:rsidTr="009F2930">
        <w:tc>
          <w:tcPr>
            <w:tcW w:w="4531" w:type="dxa"/>
          </w:tcPr>
          <w:p w14:paraId="61DEC34F" w14:textId="2557980B" w:rsidR="009F2930" w:rsidRDefault="009F2930" w:rsidP="00E12360">
            <w:pPr>
              <w:widowControl w:val="0"/>
              <w:suppressAutoHyphens/>
              <w:spacing w:line="276"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Kampaania meeskond</w:t>
            </w:r>
          </w:p>
        </w:tc>
        <w:tc>
          <w:tcPr>
            <w:tcW w:w="4531" w:type="dxa"/>
          </w:tcPr>
          <w:p w14:paraId="39F797B9" w14:textId="2D8B87A4" w:rsidR="009F2930" w:rsidRDefault="009F2930" w:rsidP="00E12360">
            <w:pPr>
              <w:widowControl w:val="0"/>
              <w:suppressAutoHyphens/>
              <w:spacing w:line="276" w:lineRule="auto"/>
              <w:jc w:val="both"/>
              <w:rPr>
                <w:rFonts w:ascii="Times New Roman" w:eastAsia="SimSun" w:hAnsi="Times New Roman" w:cs="Times New Roman"/>
                <w:kern w:val="1"/>
                <w:sz w:val="24"/>
                <w:szCs w:val="24"/>
                <w:lang w:eastAsia="zh-CN" w:bidi="hi-IN"/>
              </w:rPr>
            </w:pPr>
            <w:r>
              <w:rPr>
                <w:rFonts w:ascii="Times New Roman" w:eastAsia="SimSun" w:hAnsi="Times New Roman" w:cs="Times New Roman"/>
                <w:kern w:val="1"/>
                <w:sz w:val="24"/>
                <w:szCs w:val="24"/>
                <w:lang w:eastAsia="zh-CN" w:bidi="hi-IN"/>
              </w:rPr>
              <w:t>20</w:t>
            </w:r>
          </w:p>
        </w:tc>
      </w:tr>
      <w:tr w:rsidR="009F2930" w14:paraId="3809AD5F" w14:textId="77777777" w:rsidTr="009F2930">
        <w:tc>
          <w:tcPr>
            <w:tcW w:w="4531" w:type="dxa"/>
          </w:tcPr>
          <w:p w14:paraId="2E2B362A" w14:textId="51077F62" w:rsidR="009F2930" w:rsidRPr="009F2930" w:rsidRDefault="009F2930" w:rsidP="00E12360">
            <w:pPr>
              <w:widowControl w:val="0"/>
              <w:suppressAutoHyphens/>
              <w:spacing w:line="276" w:lineRule="auto"/>
              <w:jc w:val="both"/>
              <w:rPr>
                <w:rFonts w:ascii="Times New Roman" w:eastAsia="SimSun" w:hAnsi="Times New Roman" w:cs="Times New Roman"/>
                <w:b/>
                <w:bCs/>
                <w:kern w:val="1"/>
                <w:sz w:val="24"/>
                <w:szCs w:val="24"/>
                <w:lang w:eastAsia="zh-CN" w:bidi="hi-IN"/>
              </w:rPr>
            </w:pPr>
            <w:r w:rsidRPr="009F2930">
              <w:rPr>
                <w:rFonts w:ascii="Times New Roman" w:eastAsia="SimSun" w:hAnsi="Times New Roman" w:cs="Times New Roman"/>
                <w:b/>
                <w:bCs/>
                <w:kern w:val="1"/>
                <w:sz w:val="24"/>
                <w:szCs w:val="24"/>
                <w:lang w:eastAsia="zh-CN" w:bidi="hi-IN"/>
              </w:rPr>
              <w:t>KOKKU</w:t>
            </w:r>
          </w:p>
        </w:tc>
        <w:tc>
          <w:tcPr>
            <w:tcW w:w="4531" w:type="dxa"/>
          </w:tcPr>
          <w:p w14:paraId="4AC9BAA2" w14:textId="4E15E8FF" w:rsidR="009F2930" w:rsidRPr="009F2930" w:rsidRDefault="009F2930" w:rsidP="00E12360">
            <w:pPr>
              <w:widowControl w:val="0"/>
              <w:suppressAutoHyphens/>
              <w:spacing w:line="276" w:lineRule="auto"/>
              <w:jc w:val="both"/>
              <w:rPr>
                <w:rFonts w:ascii="Times New Roman" w:eastAsia="SimSun" w:hAnsi="Times New Roman" w:cs="Times New Roman"/>
                <w:b/>
                <w:bCs/>
                <w:kern w:val="1"/>
                <w:sz w:val="24"/>
                <w:szCs w:val="24"/>
                <w:lang w:eastAsia="zh-CN" w:bidi="hi-IN"/>
              </w:rPr>
            </w:pPr>
            <w:r w:rsidRPr="009F2930">
              <w:rPr>
                <w:rFonts w:ascii="Times New Roman" w:eastAsia="SimSun" w:hAnsi="Times New Roman" w:cs="Times New Roman"/>
                <w:b/>
                <w:bCs/>
                <w:kern w:val="1"/>
                <w:sz w:val="24"/>
                <w:szCs w:val="24"/>
                <w:lang w:eastAsia="zh-CN" w:bidi="hi-IN"/>
              </w:rPr>
              <w:t>100</w:t>
            </w:r>
          </w:p>
        </w:tc>
      </w:tr>
    </w:tbl>
    <w:p w14:paraId="77407E34" w14:textId="77777777" w:rsidR="009F2930" w:rsidRDefault="009F2930" w:rsidP="00E12360">
      <w:pPr>
        <w:widowControl w:val="0"/>
        <w:suppressAutoHyphens/>
        <w:spacing w:line="276" w:lineRule="auto"/>
        <w:jc w:val="both"/>
        <w:rPr>
          <w:rFonts w:ascii="Times New Roman" w:eastAsia="SimSun" w:hAnsi="Times New Roman" w:cs="Times New Roman"/>
          <w:kern w:val="1"/>
          <w:sz w:val="24"/>
          <w:szCs w:val="24"/>
          <w:lang w:eastAsia="zh-CN" w:bidi="hi-IN"/>
        </w:rPr>
      </w:pPr>
    </w:p>
    <w:p w14:paraId="71CD5FB6" w14:textId="5A7AD87E" w:rsidR="001A1630" w:rsidRPr="00E12360" w:rsidRDefault="001A1630" w:rsidP="00E12360">
      <w:pPr>
        <w:spacing w:line="276" w:lineRule="auto"/>
        <w:rPr>
          <w:rFonts w:ascii="Times New Roman" w:eastAsia="SimSun" w:hAnsi="Times New Roman" w:cs="Times New Roman"/>
          <w:kern w:val="1"/>
          <w:sz w:val="24"/>
          <w:szCs w:val="24"/>
          <w:lang w:eastAsia="zh-CN" w:bidi="hi-IN"/>
        </w:rPr>
      </w:pPr>
      <w:r w:rsidRPr="00D84791">
        <w:rPr>
          <w:rFonts w:ascii="Times New Roman" w:hAnsi="Times New Roman" w:cs="Times New Roman"/>
          <w:b/>
          <w:bCs/>
          <w:sz w:val="24"/>
          <w:szCs w:val="24"/>
        </w:rPr>
        <w:lastRenderedPageBreak/>
        <w:t>Loovlahendus</w:t>
      </w:r>
      <w:r w:rsidRPr="00D84791">
        <w:rPr>
          <w:rFonts w:ascii="Times New Roman" w:hAnsi="Times New Roman" w:cs="Times New Roman"/>
          <w:sz w:val="24"/>
          <w:szCs w:val="24"/>
        </w:rPr>
        <w:t xml:space="preserve"> – maksimaalne väärtuspunktide arv: 30 p</w:t>
      </w:r>
    </w:p>
    <w:tbl>
      <w:tblPr>
        <w:tblW w:w="9075" w:type="dxa"/>
        <w:tblInd w:w="-8" w:type="dxa"/>
        <w:tblCellMar>
          <w:top w:w="15" w:type="dxa"/>
          <w:left w:w="15" w:type="dxa"/>
          <w:bottom w:w="15" w:type="dxa"/>
          <w:right w:w="15" w:type="dxa"/>
        </w:tblCellMar>
        <w:tblLook w:val="04A0" w:firstRow="1" w:lastRow="0" w:firstColumn="1" w:lastColumn="0" w:noHBand="0" w:noVBand="1"/>
      </w:tblPr>
      <w:tblGrid>
        <w:gridCol w:w="2856"/>
        <w:gridCol w:w="2126"/>
        <w:gridCol w:w="2090"/>
        <w:gridCol w:w="2003"/>
      </w:tblGrid>
      <w:tr w:rsidR="001A1630" w:rsidRPr="00D84791" w14:paraId="0C0EA32C" w14:textId="77777777" w:rsidTr="5928E03D">
        <w:trPr>
          <w:trHeight w:val="1704"/>
        </w:trPr>
        <w:tc>
          <w:tcPr>
            <w:tcW w:w="2913"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6EDDBF6D" w14:textId="77777777" w:rsidR="001A1630" w:rsidRPr="00D84791" w:rsidRDefault="001A1630" w:rsidP="00E12360">
            <w:pPr>
              <w:spacing w:after="0" w:line="276" w:lineRule="auto"/>
              <w:jc w:val="both"/>
              <w:rPr>
                <w:rFonts w:ascii="Times New Roman" w:eastAsia="Times New Roman" w:hAnsi="Times New Roman" w:cs="Times New Roman"/>
                <w:b/>
                <w:color w:val="000000"/>
                <w:sz w:val="24"/>
                <w:szCs w:val="24"/>
                <w:lang w:eastAsia="et-EE"/>
              </w:rPr>
            </w:pPr>
            <w:r w:rsidRPr="00D84791">
              <w:rPr>
                <w:rFonts w:ascii="Times New Roman" w:eastAsia="Times New Roman" w:hAnsi="Times New Roman" w:cs="Times New Roman"/>
                <w:b/>
                <w:color w:val="000000"/>
                <w:sz w:val="24"/>
                <w:szCs w:val="24"/>
                <w:lang w:eastAsia="et-EE"/>
              </w:rPr>
              <w:t>30 punkti – suurepärane</w:t>
            </w:r>
          </w:p>
          <w:p w14:paraId="4C05B19B" w14:textId="77777777"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r w:rsidRPr="00D84791">
              <w:rPr>
                <w:rFonts w:ascii="Times New Roman" w:eastAsia="Times New Roman" w:hAnsi="Times New Roman" w:cs="Times New Roman"/>
                <w:bCs/>
                <w:color w:val="000000"/>
                <w:sz w:val="24"/>
                <w:szCs w:val="24"/>
                <w:lang w:eastAsia="et-EE"/>
              </w:rPr>
              <w:t>Kampaania loovlahendus</w:t>
            </w:r>
            <w:r w:rsidRPr="00D84791">
              <w:rPr>
                <w:rFonts w:ascii="Times New Roman" w:eastAsia="Times New Roman" w:hAnsi="Times New Roman" w:cs="Times New Roman"/>
                <w:b/>
                <w:color w:val="000000"/>
                <w:sz w:val="24"/>
                <w:szCs w:val="24"/>
                <w:lang w:eastAsia="et-EE"/>
              </w:rPr>
              <w:t xml:space="preserve"> </w:t>
            </w:r>
            <w:r w:rsidRPr="00D84791">
              <w:rPr>
                <w:rFonts w:ascii="Times New Roman" w:eastAsia="Times New Roman" w:hAnsi="Times New Roman" w:cs="Times New Roman"/>
                <w:color w:val="000000"/>
                <w:sz w:val="24"/>
                <w:szCs w:val="24"/>
                <w:lang w:eastAsia="et-EE"/>
              </w:rPr>
              <w:t xml:space="preserve">on selge, esteetiline ja mõjus ning kooskõlas lähteülesandega. </w:t>
            </w:r>
          </w:p>
          <w:p w14:paraId="117B6EA3" w14:textId="77777777" w:rsidR="001A1630" w:rsidRPr="00D84791" w:rsidRDefault="001A1630" w:rsidP="00E12360">
            <w:pPr>
              <w:spacing w:after="0" w:line="276" w:lineRule="auto"/>
              <w:jc w:val="both"/>
              <w:rPr>
                <w:rFonts w:ascii="Times New Roman" w:hAnsi="Times New Roman" w:cs="Times New Roman"/>
                <w:b/>
                <w:bCs/>
                <w:sz w:val="24"/>
                <w:szCs w:val="24"/>
              </w:rPr>
            </w:pPr>
          </w:p>
          <w:p w14:paraId="47502933" w14:textId="77777777" w:rsidR="001A1630" w:rsidRPr="00D84791" w:rsidRDefault="001A1630" w:rsidP="00E12360">
            <w:pPr>
              <w:spacing w:after="0"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Pakkuja on mõjuvalt selgitanud, miks pakutud ideelahendus tema hinnangul kampaania eesmärke kõige paremini täidab. </w:t>
            </w:r>
          </w:p>
          <w:p w14:paraId="69495607" w14:textId="77777777" w:rsidR="001A1630" w:rsidRPr="00D84791" w:rsidRDefault="001A1630" w:rsidP="00E12360">
            <w:pPr>
              <w:spacing w:after="0" w:line="276" w:lineRule="auto"/>
              <w:jc w:val="both"/>
              <w:rPr>
                <w:rFonts w:ascii="Times New Roman" w:hAnsi="Times New Roman" w:cs="Times New Roman"/>
                <w:sz w:val="24"/>
                <w:szCs w:val="24"/>
              </w:rPr>
            </w:pPr>
          </w:p>
          <w:p w14:paraId="3D7635D7" w14:textId="77777777"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r w:rsidRPr="00D84791">
              <w:rPr>
                <w:rFonts w:ascii="Times New Roman" w:hAnsi="Times New Roman" w:cs="Times New Roman"/>
                <w:sz w:val="24"/>
                <w:szCs w:val="24"/>
              </w:rPr>
              <w:t>Hankija hinnangul aitavad kampaania nimi ja hüüdlause koos visuaalsete elementidega sihtrühma parimal moel kõnetada.</w:t>
            </w:r>
          </w:p>
          <w:p w14:paraId="7AFC5723" w14:textId="77777777"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p>
          <w:p w14:paraId="6B2380E8" w14:textId="11340BB9" w:rsidR="001A1630" w:rsidRPr="00D84791" w:rsidRDefault="001A1630" w:rsidP="00E12360">
            <w:pPr>
              <w:spacing w:after="0" w:line="276" w:lineRule="auto"/>
              <w:jc w:val="both"/>
              <w:rPr>
                <w:rFonts w:ascii="Times New Roman" w:eastAsia="Times New Roman" w:hAnsi="Times New Roman" w:cs="Times New Roman"/>
                <w:sz w:val="24"/>
                <w:szCs w:val="24"/>
                <w:lang w:eastAsia="et-EE"/>
              </w:rPr>
            </w:pPr>
          </w:p>
        </w:tc>
        <w:tc>
          <w:tcPr>
            <w:tcW w:w="2128"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4C15356C" w14:textId="77777777" w:rsidR="001A1630" w:rsidRPr="00D84791" w:rsidRDefault="001A1630" w:rsidP="00E12360">
            <w:pPr>
              <w:spacing w:after="0" w:line="276" w:lineRule="auto"/>
              <w:jc w:val="both"/>
              <w:rPr>
                <w:rFonts w:ascii="Times New Roman" w:eastAsia="Times New Roman" w:hAnsi="Times New Roman" w:cs="Times New Roman"/>
                <w:b/>
                <w:color w:val="000000"/>
                <w:sz w:val="24"/>
                <w:szCs w:val="24"/>
                <w:lang w:eastAsia="et-EE"/>
              </w:rPr>
            </w:pPr>
            <w:r w:rsidRPr="00D84791">
              <w:rPr>
                <w:rFonts w:ascii="Times New Roman" w:eastAsia="Times New Roman" w:hAnsi="Times New Roman" w:cs="Times New Roman"/>
                <w:b/>
                <w:color w:val="000000"/>
                <w:sz w:val="24"/>
                <w:szCs w:val="24"/>
                <w:lang w:eastAsia="et-EE"/>
              </w:rPr>
              <w:t xml:space="preserve">20 punkti – hea </w:t>
            </w:r>
          </w:p>
          <w:p w14:paraId="64AF54DC" w14:textId="7D58833F" w:rsidR="001A1630" w:rsidRPr="00D84791" w:rsidRDefault="001A1630" w:rsidP="00E12360">
            <w:pPr>
              <w:spacing w:after="0" w:line="276" w:lineRule="auto"/>
              <w:jc w:val="both"/>
              <w:rPr>
                <w:rFonts w:ascii="Times New Roman" w:eastAsia="Times New Roman" w:hAnsi="Times New Roman" w:cs="Times New Roman"/>
                <w:sz w:val="24"/>
                <w:szCs w:val="24"/>
                <w:lang w:eastAsia="et-EE"/>
              </w:rPr>
            </w:pPr>
            <w:r w:rsidRPr="00D84791">
              <w:rPr>
                <w:rFonts w:ascii="Times New Roman" w:eastAsia="Times New Roman" w:hAnsi="Times New Roman" w:cs="Times New Roman"/>
                <w:bCs/>
                <w:color w:val="000000"/>
                <w:sz w:val="24"/>
                <w:szCs w:val="24"/>
                <w:lang w:eastAsia="et-EE"/>
              </w:rPr>
              <w:t xml:space="preserve">Kampaania loovlahenduses esineb puudusi, mistõttu </w:t>
            </w:r>
            <w:r w:rsidRPr="00D84791">
              <w:rPr>
                <w:rFonts w:ascii="Times New Roman" w:eastAsia="Times New Roman" w:hAnsi="Times New Roman" w:cs="Times New Roman"/>
                <w:color w:val="000000"/>
                <w:sz w:val="24"/>
                <w:szCs w:val="24"/>
                <w:lang w:eastAsia="et-EE"/>
              </w:rPr>
              <w:t xml:space="preserve">loovlahendus </w:t>
            </w:r>
            <w:r w:rsidR="00905BBA">
              <w:rPr>
                <w:rFonts w:ascii="Times New Roman" w:eastAsia="Times New Roman" w:hAnsi="Times New Roman" w:cs="Times New Roman"/>
                <w:bCs/>
                <w:color w:val="000000"/>
                <w:sz w:val="24"/>
                <w:szCs w:val="24"/>
                <w:lang w:eastAsia="et-EE"/>
              </w:rPr>
              <w:t>oleks</w:t>
            </w:r>
            <w:r w:rsidR="00905BBA" w:rsidRPr="00D84791">
              <w:rPr>
                <w:rFonts w:ascii="Times New Roman" w:eastAsia="Times New Roman" w:hAnsi="Times New Roman" w:cs="Times New Roman"/>
                <w:color w:val="000000"/>
                <w:sz w:val="24"/>
                <w:szCs w:val="24"/>
                <w:lang w:eastAsia="et-EE"/>
              </w:rPr>
              <w:t xml:space="preserve"> </w:t>
            </w:r>
            <w:r w:rsidRPr="00D84791">
              <w:rPr>
                <w:rFonts w:ascii="Times New Roman" w:eastAsia="Times New Roman" w:hAnsi="Times New Roman" w:cs="Times New Roman"/>
                <w:color w:val="000000"/>
                <w:sz w:val="24"/>
                <w:szCs w:val="24"/>
                <w:lang w:eastAsia="et-EE"/>
              </w:rPr>
              <w:t>väiksemate muudatustega rakendatav lähteülesandes kirjeldatud eesmärkide saavutamiseks (kuni 2 puudust</w:t>
            </w:r>
            <w:r w:rsidR="004C4A05">
              <w:rPr>
                <w:rFonts w:ascii="Times New Roman" w:eastAsia="Times New Roman" w:hAnsi="Times New Roman" w:cs="Times New Roman"/>
                <w:color w:val="000000"/>
                <w:sz w:val="24"/>
                <w:szCs w:val="24"/>
                <w:lang w:eastAsia="et-EE"/>
              </w:rPr>
              <w:t xml:space="preserve"> maksimaalpunktide </w:t>
            </w:r>
            <w:r w:rsidR="006C0863">
              <w:rPr>
                <w:rFonts w:ascii="Times New Roman" w:eastAsia="Times New Roman" w:hAnsi="Times New Roman" w:cs="Times New Roman"/>
                <w:color w:val="000000"/>
                <w:sz w:val="24"/>
                <w:szCs w:val="24"/>
                <w:lang w:eastAsia="et-EE"/>
              </w:rPr>
              <w:t>kirjeldusele vastamiseks*</w:t>
            </w:r>
            <w:r w:rsidRPr="00D84791">
              <w:rPr>
                <w:rFonts w:ascii="Times New Roman" w:eastAsia="Times New Roman" w:hAnsi="Times New Roman" w:cs="Times New Roman"/>
                <w:color w:val="000000"/>
                <w:sz w:val="24"/>
                <w:szCs w:val="24"/>
                <w:lang w:eastAsia="et-EE"/>
              </w:rPr>
              <w:t>).</w:t>
            </w:r>
          </w:p>
        </w:tc>
        <w:tc>
          <w:tcPr>
            <w:tcW w:w="2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hideMark/>
          </w:tcPr>
          <w:p w14:paraId="355779F4" w14:textId="77777777" w:rsidR="001A1630" w:rsidRPr="00D84791" w:rsidRDefault="001A1630" w:rsidP="00E12360">
            <w:pPr>
              <w:spacing w:after="0" w:line="276" w:lineRule="auto"/>
              <w:jc w:val="both"/>
              <w:rPr>
                <w:rFonts w:ascii="Times New Roman" w:eastAsia="Times New Roman" w:hAnsi="Times New Roman" w:cs="Times New Roman"/>
                <w:b/>
                <w:color w:val="000000"/>
                <w:sz w:val="24"/>
                <w:szCs w:val="24"/>
                <w:lang w:eastAsia="et-EE"/>
              </w:rPr>
            </w:pPr>
            <w:r w:rsidRPr="00D84791">
              <w:rPr>
                <w:rFonts w:ascii="Times New Roman" w:eastAsia="Times New Roman" w:hAnsi="Times New Roman" w:cs="Times New Roman"/>
                <w:b/>
                <w:color w:val="000000"/>
                <w:sz w:val="24"/>
                <w:szCs w:val="24"/>
                <w:lang w:eastAsia="et-EE"/>
              </w:rPr>
              <w:t>10 punkti – puudulik</w:t>
            </w:r>
          </w:p>
          <w:p w14:paraId="77EE4D0B" w14:textId="0E759D43" w:rsidR="001A1630" w:rsidRPr="00D84791" w:rsidRDefault="001A1630" w:rsidP="00E12360">
            <w:pPr>
              <w:spacing w:after="0" w:line="276" w:lineRule="auto"/>
              <w:jc w:val="both"/>
              <w:rPr>
                <w:rFonts w:ascii="Times New Roman" w:eastAsia="Times New Roman" w:hAnsi="Times New Roman" w:cs="Times New Roman"/>
                <w:sz w:val="24"/>
                <w:szCs w:val="24"/>
                <w:lang w:eastAsia="et-EE"/>
              </w:rPr>
            </w:pPr>
            <w:r w:rsidRPr="00D84791">
              <w:rPr>
                <w:rFonts w:ascii="Times New Roman" w:eastAsia="Times New Roman" w:hAnsi="Times New Roman" w:cs="Times New Roman"/>
                <w:bCs/>
                <w:color w:val="000000"/>
                <w:sz w:val="24"/>
                <w:szCs w:val="24"/>
                <w:lang w:eastAsia="et-EE"/>
              </w:rPr>
              <w:t>Kampaania loovlahendus</w:t>
            </w:r>
            <w:r w:rsidRPr="00D84791">
              <w:rPr>
                <w:rFonts w:ascii="Times New Roman" w:eastAsia="Times New Roman" w:hAnsi="Times New Roman" w:cs="Times New Roman"/>
                <w:color w:val="000000"/>
                <w:sz w:val="24"/>
                <w:szCs w:val="24"/>
                <w:lang w:eastAsia="et-EE"/>
              </w:rPr>
              <w:t xml:space="preserve"> on puudulik: vähesel määral kooskõlas lähteülesandega</w:t>
            </w:r>
            <w:r w:rsidRPr="00D84791">
              <w:rPr>
                <w:rFonts w:ascii="Times New Roman" w:eastAsia="Times New Roman" w:hAnsi="Times New Roman" w:cs="Times New Roman"/>
                <w:b/>
                <w:bCs/>
                <w:color w:val="000000"/>
                <w:sz w:val="24"/>
                <w:szCs w:val="24"/>
                <w:lang w:eastAsia="et-EE"/>
              </w:rPr>
              <w:t xml:space="preserve"> </w:t>
            </w:r>
            <w:r w:rsidRPr="00D84791">
              <w:rPr>
                <w:rFonts w:ascii="Times New Roman" w:eastAsia="Times New Roman" w:hAnsi="Times New Roman" w:cs="Times New Roman"/>
                <w:bCs/>
                <w:color w:val="000000"/>
                <w:sz w:val="24"/>
                <w:szCs w:val="24"/>
                <w:lang w:eastAsia="et-EE"/>
              </w:rPr>
              <w:t xml:space="preserve">ja/või esineb loovlahenduses muid puudusi, mistõttu </w:t>
            </w:r>
            <w:r w:rsidRPr="00D84791">
              <w:rPr>
                <w:rFonts w:ascii="Times New Roman" w:eastAsia="Times New Roman" w:hAnsi="Times New Roman" w:cs="Times New Roman"/>
                <w:color w:val="000000"/>
                <w:sz w:val="24"/>
                <w:szCs w:val="24"/>
                <w:lang w:eastAsia="et-EE"/>
              </w:rPr>
              <w:t xml:space="preserve">loovlahendus </w:t>
            </w:r>
            <w:r w:rsidR="00387EA7">
              <w:rPr>
                <w:rFonts w:ascii="Times New Roman" w:eastAsia="Times New Roman" w:hAnsi="Times New Roman" w:cs="Times New Roman"/>
                <w:color w:val="000000"/>
                <w:sz w:val="24"/>
                <w:szCs w:val="24"/>
                <w:lang w:eastAsia="et-EE"/>
              </w:rPr>
              <w:t>oleks</w:t>
            </w:r>
            <w:r w:rsidR="00387EA7" w:rsidRPr="00D84791">
              <w:rPr>
                <w:rFonts w:ascii="Times New Roman" w:eastAsia="Times New Roman" w:hAnsi="Times New Roman" w:cs="Times New Roman"/>
                <w:color w:val="000000"/>
                <w:sz w:val="24"/>
                <w:szCs w:val="24"/>
                <w:lang w:eastAsia="et-EE"/>
              </w:rPr>
              <w:t xml:space="preserve"> </w:t>
            </w:r>
            <w:r w:rsidRPr="00D84791">
              <w:rPr>
                <w:rFonts w:ascii="Times New Roman" w:eastAsia="Times New Roman" w:hAnsi="Times New Roman" w:cs="Times New Roman"/>
                <w:color w:val="000000"/>
                <w:sz w:val="24"/>
                <w:szCs w:val="24"/>
                <w:lang w:eastAsia="et-EE"/>
              </w:rPr>
              <w:t>rakendatav ainult suuremate muudatustega lähteülesandes kirjeldatud eesmärkide saavutamiseks (3 ja enam puudust</w:t>
            </w:r>
            <w:r w:rsidR="00DB096C">
              <w:rPr>
                <w:rFonts w:ascii="Times New Roman" w:eastAsia="Times New Roman" w:hAnsi="Times New Roman" w:cs="Times New Roman"/>
                <w:color w:val="000000"/>
                <w:sz w:val="24"/>
                <w:szCs w:val="24"/>
                <w:lang w:eastAsia="et-EE"/>
              </w:rPr>
              <w:t xml:space="preserve"> maksimaalpunktide kirjeldusele vastamiseks*</w:t>
            </w:r>
            <w:r w:rsidRPr="00D84791">
              <w:rPr>
                <w:rFonts w:ascii="Times New Roman" w:eastAsia="Times New Roman" w:hAnsi="Times New Roman" w:cs="Times New Roman"/>
                <w:color w:val="000000"/>
                <w:sz w:val="24"/>
                <w:szCs w:val="24"/>
                <w:lang w:eastAsia="et-EE"/>
              </w:rPr>
              <w:t>).</w:t>
            </w:r>
          </w:p>
        </w:tc>
        <w:tc>
          <w:tcPr>
            <w:tcW w:w="2017" w:type="dxa"/>
            <w:tcBorders>
              <w:top w:val="single" w:sz="6" w:space="0" w:color="000000" w:themeColor="text1"/>
              <w:left w:val="single" w:sz="6" w:space="0" w:color="000000" w:themeColor="text1"/>
              <w:bottom w:val="single" w:sz="6" w:space="0" w:color="000000" w:themeColor="text1"/>
              <w:right w:val="single" w:sz="6" w:space="0" w:color="000000" w:themeColor="text1"/>
            </w:tcBorders>
            <w:tcMar>
              <w:top w:w="105" w:type="dxa"/>
              <w:left w:w="105" w:type="dxa"/>
              <w:bottom w:w="105" w:type="dxa"/>
              <w:right w:w="105" w:type="dxa"/>
            </w:tcMar>
          </w:tcPr>
          <w:p w14:paraId="499D7693" w14:textId="2D167935" w:rsidR="44C65A03" w:rsidRPr="00EE3B47" w:rsidRDefault="44C65A03" w:rsidP="5928E03D">
            <w:pPr>
              <w:spacing w:line="276" w:lineRule="auto"/>
              <w:jc w:val="both"/>
              <w:rPr>
                <w:rFonts w:ascii="Times New Roman" w:eastAsia="Times New Roman" w:hAnsi="Times New Roman" w:cs="Times New Roman"/>
                <w:b/>
                <w:bCs/>
                <w:color w:val="000000" w:themeColor="text1"/>
                <w:sz w:val="24"/>
                <w:szCs w:val="24"/>
                <w:lang w:eastAsia="et-EE"/>
              </w:rPr>
            </w:pPr>
            <w:r w:rsidRPr="5928E03D">
              <w:rPr>
                <w:rFonts w:ascii="Times New Roman" w:eastAsia="Times New Roman" w:hAnsi="Times New Roman" w:cs="Times New Roman"/>
                <w:b/>
                <w:bCs/>
                <w:color w:val="000000" w:themeColor="text1"/>
                <w:sz w:val="24"/>
                <w:szCs w:val="24"/>
                <w:lang w:eastAsia="et-EE"/>
              </w:rPr>
              <w:t>0 punkti – kehv</w:t>
            </w:r>
          </w:p>
          <w:p w14:paraId="63FAFCCD" w14:textId="15177CB9" w:rsidR="44C65A03" w:rsidRPr="00EE3B47" w:rsidRDefault="44C65A03" w:rsidP="5928E03D">
            <w:pPr>
              <w:spacing w:line="276" w:lineRule="auto"/>
              <w:jc w:val="both"/>
              <w:rPr>
                <w:rFonts w:ascii="Times New Roman" w:eastAsia="Times New Roman" w:hAnsi="Times New Roman" w:cs="Times New Roman"/>
                <w:color w:val="000000" w:themeColor="text1"/>
                <w:sz w:val="24"/>
                <w:szCs w:val="24"/>
                <w:lang w:eastAsia="et-EE"/>
              </w:rPr>
            </w:pPr>
            <w:r w:rsidRPr="00EE3B47">
              <w:rPr>
                <w:rFonts w:ascii="Times New Roman" w:eastAsia="Times New Roman" w:hAnsi="Times New Roman" w:cs="Times New Roman"/>
                <w:color w:val="000000" w:themeColor="text1"/>
                <w:sz w:val="24"/>
                <w:szCs w:val="24"/>
                <w:lang w:eastAsia="et-EE"/>
              </w:rPr>
              <w:t>Kampaania loovlahendus ei ole kooskõlas lähteülesandega ega aita kaasa hanke eesmärkide saavutamisele.</w:t>
            </w:r>
          </w:p>
        </w:tc>
      </w:tr>
    </w:tbl>
    <w:p w14:paraId="28969259" w14:textId="77777777" w:rsidR="001A1630" w:rsidRPr="00D84791" w:rsidRDefault="001A1630" w:rsidP="00E12360">
      <w:pPr>
        <w:spacing w:line="276" w:lineRule="auto"/>
        <w:rPr>
          <w:rFonts w:ascii="Times New Roman" w:hAnsi="Times New Roman" w:cs="Times New Roman"/>
          <w:sz w:val="24"/>
          <w:szCs w:val="24"/>
        </w:rPr>
      </w:pPr>
    </w:p>
    <w:p w14:paraId="33791F1F" w14:textId="77777777" w:rsidR="001A1630" w:rsidRPr="00D84791" w:rsidRDefault="001A1630" w:rsidP="00E12360">
      <w:pPr>
        <w:spacing w:line="276" w:lineRule="auto"/>
        <w:rPr>
          <w:rFonts w:ascii="Times New Roman" w:hAnsi="Times New Roman" w:cs="Times New Roman"/>
          <w:sz w:val="24"/>
          <w:szCs w:val="24"/>
        </w:rPr>
      </w:pPr>
      <w:r w:rsidRPr="00D84791">
        <w:rPr>
          <w:rFonts w:ascii="Times New Roman" w:hAnsi="Times New Roman" w:cs="Times New Roman"/>
          <w:b/>
          <w:bCs/>
          <w:sz w:val="24"/>
          <w:szCs w:val="24"/>
        </w:rPr>
        <w:t>Meediaplaan</w:t>
      </w:r>
      <w:r w:rsidRPr="00D84791">
        <w:rPr>
          <w:rFonts w:ascii="Times New Roman" w:hAnsi="Times New Roman" w:cs="Times New Roman"/>
          <w:sz w:val="24"/>
          <w:szCs w:val="24"/>
        </w:rPr>
        <w:t xml:space="preserve"> – maksimaalne väärtuspunktide arv: 30 p</w:t>
      </w:r>
    </w:p>
    <w:tbl>
      <w:tblPr>
        <w:tblW w:w="8931" w:type="dxa"/>
        <w:tblInd w:w="-8" w:type="dxa"/>
        <w:tblCellMar>
          <w:top w:w="15" w:type="dxa"/>
          <w:left w:w="15" w:type="dxa"/>
          <w:bottom w:w="15" w:type="dxa"/>
          <w:right w:w="15" w:type="dxa"/>
        </w:tblCellMar>
        <w:tblLook w:val="04A0" w:firstRow="1" w:lastRow="0" w:firstColumn="1" w:lastColumn="0" w:noHBand="0" w:noVBand="1"/>
      </w:tblPr>
      <w:tblGrid>
        <w:gridCol w:w="3686"/>
        <w:gridCol w:w="2693"/>
        <w:gridCol w:w="2552"/>
      </w:tblGrid>
      <w:tr w:rsidR="001A1630" w:rsidRPr="00D84791" w14:paraId="603C5EB5" w14:textId="77777777" w:rsidTr="001A1630">
        <w:tc>
          <w:tcPr>
            <w:tcW w:w="36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8ABCA58" w14:textId="77777777" w:rsidR="001A1630" w:rsidRPr="00D84791" w:rsidRDefault="001A1630" w:rsidP="00E12360">
            <w:pPr>
              <w:spacing w:after="0" w:line="276" w:lineRule="auto"/>
              <w:jc w:val="both"/>
              <w:rPr>
                <w:rFonts w:ascii="Times New Roman" w:eastAsia="Times New Roman" w:hAnsi="Times New Roman" w:cs="Times New Roman"/>
                <w:b/>
                <w:bCs/>
                <w:color w:val="000000"/>
                <w:sz w:val="24"/>
                <w:szCs w:val="24"/>
                <w:lang w:eastAsia="et-EE"/>
              </w:rPr>
            </w:pPr>
            <w:r w:rsidRPr="00D84791">
              <w:rPr>
                <w:rFonts w:ascii="Times New Roman" w:eastAsia="Times New Roman" w:hAnsi="Times New Roman" w:cs="Times New Roman"/>
                <w:b/>
                <w:bCs/>
                <w:color w:val="000000"/>
                <w:sz w:val="24"/>
                <w:szCs w:val="24"/>
                <w:lang w:eastAsia="et-EE"/>
              </w:rPr>
              <w:t xml:space="preserve">30 punkti – suurepärane </w:t>
            </w:r>
          </w:p>
          <w:p w14:paraId="017E62E5" w14:textId="77777777"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r w:rsidRPr="00D84791">
              <w:rPr>
                <w:rFonts w:ascii="Times New Roman" w:eastAsia="Times New Roman" w:hAnsi="Times New Roman" w:cs="Times New Roman"/>
                <w:color w:val="000000"/>
                <w:sz w:val="24"/>
                <w:szCs w:val="24"/>
                <w:lang w:eastAsia="et-EE"/>
              </w:rPr>
              <w:t xml:space="preserve">Meediastrateegia loob eeldused kampaania sõnumite jõudmiseks sihtrühmani parimal moel. </w:t>
            </w:r>
          </w:p>
          <w:p w14:paraId="68A4A542" w14:textId="77777777"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p>
          <w:p w14:paraId="0F64CC6B" w14:textId="77777777"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r w:rsidRPr="00D84791">
              <w:rPr>
                <w:rFonts w:ascii="Times New Roman" w:eastAsia="Times New Roman" w:hAnsi="Times New Roman" w:cs="Times New Roman"/>
                <w:color w:val="000000"/>
                <w:sz w:val="24"/>
                <w:szCs w:val="24"/>
                <w:lang w:eastAsia="et-EE"/>
              </w:rPr>
              <w:t xml:space="preserve">Pakkuja on mõjusalt põhjendanud erinevate meedialiikide kasutamist ning seda, kuidas need aitavad parimal moel kampaania eesmärke saavutada. </w:t>
            </w:r>
          </w:p>
          <w:p w14:paraId="2902D1FB" w14:textId="77777777"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p>
          <w:p w14:paraId="6C3E4AFF" w14:textId="77777777"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r w:rsidRPr="00D84791">
              <w:rPr>
                <w:rFonts w:ascii="Times New Roman" w:eastAsia="Times New Roman" w:hAnsi="Times New Roman" w:cs="Times New Roman"/>
                <w:color w:val="000000"/>
                <w:sz w:val="24"/>
                <w:szCs w:val="24"/>
                <w:lang w:eastAsia="et-EE"/>
              </w:rPr>
              <w:t xml:space="preserve">Kampaaniaplaan on detailne ja arusaadav, sisaldades kõiki nõutud elemente, kanalite ja ostetavate pindade/aja valik on otstarbekas ja </w:t>
            </w:r>
            <w:r w:rsidRPr="00D84791">
              <w:rPr>
                <w:rFonts w:ascii="Times New Roman" w:eastAsia="Times New Roman" w:hAnsi="Times New Roman" w:cs="Times New Roman"/>
                <w:color w:val="000000"/>
                <w:sz w:val="24"/>
                <w:szCs w:val="24"/>
                <w:lang w:eastAsia="et-EE"/>
              </w:rPr>
              <w:lastRenderedPageBreak/>
              <w:t xml:space="preserve">sihtrühmale sobiv, vastab lähteülesandes seatud eesmärkidele; pakutud mõõdikute ja metoodikaga on võimalik meediastrateegia tulemusi hinnata. </w:t>
            </w:r>
          </w:p>
          <w:p w14:paraId="2CCFF70C" w14:textId="77777777"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p>
          <w:p w14:paraId="0769645B" w14:textId="40E4207C"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r w:rsidRPr="00D84791">
              <w:rPr>
                <w:rFonts w:ascii="Times New Roman" w:eastAsia="Times New Roman" w:hAnsi="Times New Roman" w:cs="Times New Roman"/>
                <w:color w:val="000000"/>
                <w:sz w:val="24"/>
                <w:szCs w:val="24"/>
                <w:lang w:eastAsia="et-EE"/>
              </w:rPr>
              <w:t xml:space="preserve">Kokkuvõtvalt saab kampaania elluviimise plaani (meediastrateegia koos kampaaniaplaaniga) </w:t>
            </w:r>
            <w:r w:rsidRPr="00D84791">
              <w:rPr>
                <w:rFonts w:ascii="Times New Roman" w:eastAsia="Times New Roman" w:hAnsi="Times New Roman" w:cs="Times New Roman"/>
                <w:bCs/>
                <w:color w:val="000000"/>
                <w:sz w:val="24"/>
                <w:szCs w:val="24"/>
                <w:lang w:eastAsia="et-EE"/>
              </w:rPr>
              <w:t>pakutud kujul kasutusele võtta</w:t>
            </w:r>
            <w:r w:rsidRPr="00D84791">
              <w:rPr>
                <w:rFonts w:ascii="Times New Roman" w:eastAsia="Times New Roman" w:hAnsi="Times New Roman" w:cs="Times New Roman"/>
                <w:color w:val="000000"/>
                <w:sz w:val="24"/>
                <w:szCs w:val="24"/>
                <w:lang w:eastAsia="et-EE"/>
              </w:rPr>
              <w:t>.</w:t>
            </w: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13BABCE" w14:textId="77777777" w:rsidR="001A1630" w:rsidRPr="00D84791" w:rsidRDefault="001A1630" w:rsidP="00E12360">
            <w:pPr>
              <w:spacing w:after="0" w:line="276" w:lineRule="auto"/>
              <w:jc w:val="both"/>
              <w:rPr>
                <w:rFonts w:ascii="Times New Roman" w:eastAsia="Times New Roman" w:hAnsi="Times New Roman" w:cs="Times New Roman"/>
                <w:b/>
                <w:bCs/>
                <w:color w:val="000000"/>
                <w:sz w:val="24"/>
                <w:szCs w:val="24"/>
                <w:lang w:eastAsia="et-EE"/>
              </w:rPr>
            </w:pPr>
            <w:r w:rsidRPr="00D84791">
              <w:rPr>
                <w:rFonts w:ascii="Times New Roman" w:eastAsia="Times New Roman" w:hAnsi="Times New Roman" w:cs="Times New Roman"/>
                <w:b/>
                <w:bCs/>
                <w:color w:val="000000"/>
                <w:sz w:val="24"/>
                <w:szCs w:val="24"/>
                <w:lang w:eastAsia="et-EE"/>
              </w:rPr>
              <w:lastRenderedPageBreak/>
              <w:t xml:space="preserve">20 punkti – hea </w:t>
            </w:r>
          </w:p>
          <w:p w14:paraId="193AF93F" w14:textId="62983B13"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r w:rsidRPr="00D84791">
              <w:rPr>
                <w:rFonts w:ascii="Times New Roman" w:eastAsia="Times New Roman" w:hAnsi="Times New Roman" w:cs="Times New Roman"/>
                <w:color w:val="000000"/>
                <w:sz w:val="24"/>
                <w:szCs w:val="24"/>
                <w:lang w:eastAsia="et-EE"/>
              </w:rPr>
              <w:t>Meediastrateegias ja/või kampaaniaplaanis esineb puudusi, mistõttu ei ole hankija hinnangul võimalik sihtrühmani parimal moel jõuda. Kampaania elluviimise plaani kasutuselevõtuks tuleks teha väiksemaid muudatusi (kuni 2 puudust</w:t>
            </w:r>
            <w:r w:rsidR="001D01C8">
              <w:rPr>
                <w:rFonts w:ascii="Times New Roman" w:eastAsia="Times New Roman" w:hAnsi="Times New Roman" w:cs="Times New Roman"/>
                <w:color w:val="000000"/>
                <w:sz w:val="24"/>
                <w:szCs w:val="24"/>
                <w:lang w:eastAsia="et-EE"/>
              </w:rPr>
              <w:t xml:space="preserve"> maksimaalpunktide kirjeldusele vastamiseks*</w:t>
            </w:r>
            <w:r w:rsidRPr="00D84791">
              <w:rPr>
                <w:rFonts w:ascii="Times New Roman" w:eastAsia="Times New Roman" w:hAnsi="Times New Roman" w:cs="Times New Roman"/>
                <w:color w:val="000000"/>
                <w:sz w:val="24"/>
                <w:szCs w:val="24"/>
                <w:lang w:eastAsia="et-EE"/>
              </w:rPr>
              <w:t>).</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6789FA9" w14:textId="614CD83A" w:rsidR="001A1630" w:rsidRPr="00D84791" w:rsidRDefault="001A1630" w:rsidP="00E12360">
            <w:pPr>
              <w:spacing w:after="0" w:line="276" w:lineRule="auto"/>
              <w:jc w:val="both"/>
              <w:rPr>
                <w:rFonts w:ascii="Times New Roman" w:eastAsia="Times New Roman" w:hAnsi="Times New Roman" w:cs="Times New Roman"/>
                <w:b/>
                <w:bCs/>
                <w:color w:val="000000"/>
                <w:sz w:val="24"/>
                <w:szCs w:val="24"/>
                <w:lang w:eastAsia="et-EE"/>
              </w:rPr>
            </w:pPr>
            <w:r w:rsidRPr="00D84791">
              <w:rPr>
                <w:rFonts w:ascii="Times New Roman" w:eastAsia="Times New Roman" w:hAnsi="Times New Roman" w:cs="Times New Roman"/>
                <w:b/>
                <w:bCs/>
                <w:color w:val="000000"/>
                <w:sz w:val="24"/>
                <w:szCs w:val="24"/>
                <w:lang w:eastAsia="et-EE"/>
              </w:rPr>
              <w:t>10</w:t>
            </w:r>
            <w:r>
              <w:rPr>
                <w:rFonts w:ascii="Times New Roman" w:eastAsia="Times New Roman" w:hAnsi="Times New Roman" w:cs="Times New Roman"/>
                <w:b/>
                <w:bCs/>
                <w:color w:val="000000"/>
                <w:sz w:val="24"/>
                <w:szCs w:val="24"/>
                <w:lang w:eastAsia="et-EE"/>
              </w:rPr>
              <w:t xml:space="preserve"> punkti - puudulik</w:t>
            </w:r>
          </w:p>
          <w:p w14:paraId="5C91CB98" w14:textId="1BDC0921"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r w:rsidRPr="00D84791">
              <w:rPr>
                <w:rFonts w:ascii="Times New Roman" w:eastAsia="Times New Roman" w:hAnsi="Times New Roman" w:cs="Times New Roman"/>
                <w:color w:val="000000"/>
                <w:sz w:val="24"/>
                <w:szCs w:val="24"/>
                <w:lang w:eastAsia="et-EE"/>
              </w:rPr>
              <w:t>Nii meediastrateegia kui ka kampaaniaplaan sisaldavad olulisi puudusi, mistõttu tule</w:t>
            </w:r>
            <w:r w:rsidR="0058095E">
              <w:rPr>
                <w:rFonts w:ascii="Times New Roman" w:eastAsia="Times New Roman" w:hAnsi="Times New Roman" w:cs="Times New Roman"/>
                <w:color w:val="000000"/>
                <w:sz w:val="24"/>
                <w:szCs w:val="24"/>
                <w:lang w:eastAsia="et-EE"/>
              </w:rPr>
              <w:t>ks</w:t>
            </w:r>
            <w:r w:rsidRPr="00D84791">
              <w:rPr>
                <w:rFonts w:ascii="Times New Roman" w:eastAsia="Times New Roman" w:hAnsi="Times New Roman" w:cs="Times New Roman"/>
                <w:color w:val="000000"/>
                <w:sz w:val="24"/>
                <w:szCs w:val="24"/>
                <w:lang w:eastAsia="et-EE"/>
              </w:rPr>
              <w:t xml:space="preserve"> plaani kasutuselevõtuks teha suuremaid muudatusi (3 ja enam puudust</w:t>
            </w:r>
            <w:r w:rsidR="001D01C8">
              <w:rPr>
                <w:rFonts w:ascii="Times New Roman" w:eastAsia="Times New Roman" w:hAnsi="Times New Roman" w:cs="Times New Roman"/>
                <w:color w:val="000000"/>
                <w:sz w:val="24"/>
                <w:szCs w:val="24"/>
                <w:lang w:eastAsia="et-EE"/>
              </w:rPr>
              <w:t xml:space="preserve"> maksimaalpunktide kirjeldusele vastamiseks*</w:t>
            </w:r>
            <w:r w:rsidRPr="00D84791">
              <w:rPr>
                <w:rFonts w:ascii="Times New Roman" w:eastAsia="Times New Roman" w:hAnsi="Times New Roman" w:cs="Times New Roman"/>
                <w:color w:val="000000"/>
                <w:sz w:val="24"/>
                <w:szCs w:val="24"/>
                <w:lang w:eastAsia="et-EE"/>
              </w:rPr>
              <w:t>).</w:t>
            </w:r>
          </w:p>
        </w:tc>
      </w:tr>
    </w:tbl>
    <w:p w14:paraId="070A3374" w14:textId="77777777" w:rsidR="001A1630" w:rsidRPr="00D84791" w:rsidRDefault="001A1630" w:rsidP="00E12360">
      <w:pPr>
        <w:spacing w:line="276" w:lineRule="auto"/>
        <w:rPr>
          <w:rFonts w:ascii="Times New Roman" w:hAnsi="Times New Roman" w:cs="Times New Roman"/>
          <w:sz w:val="24"/>
          <w:szCs w:val="24"/>
        </w:rPr>
      </w:pPr>
    </w:p>
    <w:p w14:paraId="2D64999F" w14:textId="56090CD2" w:rsidR="001A1630" w:rsidRPr="00D84791" w:rsidRDefault="001A1630" w:rsidP="00E12360">
      <w:pPr>
        <w:spacing w:line="276" w:lineRule="auto"/>
        <w:rPr>
          <w:rFonts w:ascii="Times New Roman" w:hAnsi="Times New Roman" w:cs="Times New Roman"/>
          <w:sz w:val="24"/>
          <w:szCs w:val="24"/>
        </w:rPr>
      </w:pPr>
      <w:r w:rsidRPr="00D84791">
        <w:rPr>
          <w:rFonts w:ascii="Times New Roman" w:hAnsi="Times New Roman" w:cs="Times New Roman"/>
          <w:b/>
          <w:bCs/>
          <w:sz w:val="24"/>
          <w:szCs w:val="24"/>
        </w:rPr>
        <w:t>Ajakava</w:t>
      </w:r>
      <w:r w:rsidRPr="00D84791">
        <w:rPr>
          <w:rFonts w:ascii="Times New Roman" w:hAnsi="Times New Roman" w:cs="Times New Roman"/>
          <w:sz w:val="24"/>
          <w:szCs w:val="24"/>
        </w:rPr>
        <w:t xml:space="preserve"> – maksimaalne väärtuspunktide arv: 20</w:t>
      </w:r>
      <w:r w:rsidR="005B16FD">
        <w:rPr>
          <w:rFonts w:ascii="Times New Roman" w:hAnsi="Times New Roman" w:cs="Times New Roman"/>
          <w:sz w:val="24"/>
          <w:szCs w:val="24"/>
        </w:rPr>
        <w:t xml:space="preserve"> p</w:t>
      </w:r>
    </w:p>
    <w:tbl>
      <w:tblPr>
        <w:tblW w:w="8931" w:type="dxa"/>
        <w:tblInd w:w="-8" w:type="dxa"/>
        <w:tblCellMar>
          <w:top w:w="15" w:type="dxa"/>
          <w:left w:w="15" w:type="dxa"/>
          <w:bottom w:w="15" w:type="dxa"/>
          <w:right w:w="15" w:type="dxa"/>
        </w:tblCellMar>
        <w:tblLook w:val="04A0" w:firstRow="1" w:lastRow="0" w:firstColumn="1" w:lastColumn="0" w:noHBand="0" w:noVBand="1"/>
      </w:tblPr>
      <w:tblGrid>
        <w:gridCol w:w="3686"/>
        <w:gridCol w:w="2693"/>
        <w:gridCol w:w="2552"/>
      </w:tblGrid>
      <w:tr w:rsidR="001A1630" w:rsidRPr="00D84791" w14:paraId="64BEAD7F" w14:textId="77777777" w:rsidTr="001A1630">
        <w:tc>
          <w:tcPr>
            <w:tcW w:w="36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0E7EA48" w14:textId="77777777" w:rsidR="001A1630" w:rsidRPr="001A1630" w:rsidRDefault="001A1630" w:rsidP="00E12360">
            <w:pPr>
              <w:spacing w:after="0" w:line="276" w:lineRule="auto"/>
              <w:jc w:val="both"/>
              <w:rPr>
                <w:rFonts w:ascii="Times New Roman" w:eastAsia="Times New Roman" w:hAnsi="Times New Roman" w:cs="Times New Roman"/>
                <w:b/>
                <w:bCs/>
                <w:color w:val="000000"/>
                <w:sz w:val="24"/>
                <w:szCs w:val="24"/>
                <w:lang w:eastAsia="et-EE"/>
              </w:rPr>
            </w:pPr>
            <w:r w:rsidRPr="001A1630">
              <w:rPr>
                <w:rFonts w:ascii="Times New Roman" w:eastAsia="Times New Roman" w:hAnsi="Times New Roman" w:cs="Times New Roman"/>
                <w:b/>
                <w:bCs/>
                <w:color w:val="000000"/>
                <w:sz w:val="24"/>
                <w:szCs w:val="24"/>
                <w:lang w:eastAsia="et-EE"/>
              </w:rPr>
              <w:t xml:space="preserve">20 punkti – suurepärane </w:t>
            </w:r>
          </w:p>
          <w:p w14:paraId="4DCD3293" w14:textId="5C6A0D25" w:rsidR="001A1630" w:rsidRPr="00D84791" w:rsidRDefault="001A1630" w:rsidP="00E12360">
            <w:pPr>
              <w:spacing w:after="0" w:line="276" w:lineRule="auto"/>
              <w:jc w:val="both"/>
              <w:rPr>
                <w:rFonts w:ascii="Times New Roman" w:eastAsia="Times New Roman" w:hAnsi="Times New Roman" w:cs="Times New Roman"/>
                <w:color w:val="000000"/>
                <w:sz w:val="24"/>
                <w:szCs w:val="24"/>
                <w:lang w:eastAsia="et-EE"/>
              </w:rPr>
            </w:pPr>
            <w:r w:rsidRPr="00D84791">
              <w:rPr>
                <w:rFonts w:ascii="Times New Roman" w:eastAsia="Times New Roman" w:hAnsi="Times New Roman" w:cs="Times New Roman"/>
                <w:color w:val="000000"/>
                <w:sz w:val="24"/>
                <w:szCs w:val="24"/>
                <w:lang w:eastAsia="et-EE"/>
              </w:rPr>
              <w:t xml:space="preserve">Ajakava on hankija hinnangul terviklik, põhjendatud ja realistlikult tegevustega sisustatud, </w:t>
            </w:r>
            <w:r w:rsidRPr="00D84791">
              <w:rPr>
                <w:rFonts w:ascii="Times New Roman" w:eastAsia="Times New Roman" w:hAnsi="Times New Roman" w:cs="Times New Roman"/>
                <w:bCs/>
                <w:color w:val="000000"/>
                <w:sz w:val="24"/>
                <w:szCs w:val="24"/>
                <w:lang w:eastAsia="et-EE"/>
              </w:rPr>
              <w:t>sobib hästi</w:t>
            </w:r>
            <w:r w:rsidRPr="00D84791">
              <w:rPr>
                <w:rFonts w:ascii="Times New Roman" w:eastAsia="Times New Roman" w:hAnsi="Times New Roman" w:cs="Times New Roman"/>
                <w:color w:val="000000"/>
                <w:sz w:val="24"/>
                <w:szCs w:val="24"/>
                <w:lang w:eastAsia="et-EE"/>
              </w:rPr>
              <w:t xml:space="preserve"> planeeritud tegevuste elluviimiseks ning vastab kampaania ootustele ja eesmärkidele.</w:t>
            </w:r>
          </w:p>
        </w:tc>
        <w:tc>
          <w:tcPr>
            <w:tcW w:w="2693"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9C252D2" w14:textId="6A7DC6A8" w:rsidR="001A1630" w:rsidRDefault="001A1630" w:rsidP="00E12360">
            <w:pPr>
              <w:spacing w:after="0" w:line="276" w:lineRule="auto"/>
              <w:jc w:val="both"/>
              <w:rPr>
                <w:rFonts w:ascii="Times New Roman" w:eastAsia="Times New Roman" w:hAnsi="Times New Roman" w:cs="Times New Roman"/>
                <w:color w:val="000000"/>
                <w:sz w:val="24"/>
                <w:szCs w:val="24"/>
                <w:lang w:eastAsia="et-EE"/>
              </w:rPr>
            </w:pPr>
            <w:r w:rsidRPr="001A1630">
              <w:rPr>
                <w:rFonts w:ascii="Times New Roman" w:eastAsia="Times New Roman" w:hAnsi="Times New Roman" w:cs="Times New Roman"/>
                <w:b/>
                <w:bCs/>
                <w:color w:val="000000"/>
                <w:sz w:val="24"/>
                <w:szCs w:val="24"/>
                <w:lang w:eastAsia="et-EE"/>
              </w:rPr>
              <w:t>10</w:t>
            </w:r>
            <w:r>
              <w:rPr>
                <w:rFonts w:ascii="Times New Roman" w:eastAsia="Times New Roman" w:hAnsi="Times New Roman" w:cs="Times New Roman"/>
                <w:color w:val="000000"/>
                <w:sz w:val="24"/>
                <w:szCs w:val="24"/>
                <w:lang w:eastAsia="et-EE"/>
              </w:rPr>
              <w:t xml:space="preserve"> </w:t>
            </w:r>
            <w:r w:rsidRPr="00D84791">
              <w:rPr>
                <w:rFonts w:ascii="Times New Roman" w:eastAsia="Times New Roman" w:hAnsi="Times New Roman" w:cs="Times New Roman"/>
                <w:b/>
                <w:bCs/>
                <w:color w:val="000000"/>
                <w:sz w:val="24"/>
                <w:szCs w:val="24"/>
                <w:lang w:eastAsia="et-EE"/>
              </w:rPr>
              <w:t>punkti – hea</w:t>
            </w:r>
          </w:p>
          <w:p w14:paraId="541A16EE" w14:textId="1BD4FB3A" w:rsidR="001A1630" w:rsidRPr="00D84791" w:rsidRDefault="001A1630" w:rsidP="00E12360">
            <w:pPr>
              <w:spacing w:after="0" w:line="276" w:lineRule="auto"/>
              <w:jc w:val="both"/>
              <w:rPr>
                <w:rFonts w:ascii="Times New Roman" w:eastAsia="Times New Roman" w:hAnsi="Times New Roman" w:cs="Times New Roman"/>
                <w:sz w:val="24"/>
                <w:szCs w:val="24"/>
                <w:lang w:eastAsia="et-EE"/>
              </w:rPr>
            </w:pPr>
            <w:r w:rsidRPr="00D84791">
              <w:rPr>
                <w:rFonts w:ascii="Times New Roman" w:eastAsia="Times New Roman" w:hAnsi="Times New Roman" w:cs="Times New Roman"/>
                <w:color w:val="000000"/>
                <w:sz w:val="24"/>
                <w:szCs w:val="24"/>
                <w:lang w:eastAsia="et-EE"/>
              </w:rPr>
              <w:t xml:space="preserve">Ajakava on hankija hinnangul suures osas detailne ja/või üldiselt realistlik ning </w:t>
            </w:r>
            <w:r w:rsidRPr="00D84791">
              <w:rPr>
                <w:rFonts w:ascii="Times New Roman" w:eastAsia="Times New Roman" w:hAnsi="Times New Roman" w:cs="Times New Roman"/>
                <w:bCs/>
                <w:color w:val="000000"/>
                <w:sz w:val="24"/>
                <w:szCs w:val="24"/>
                <w:lang w:eastAsia="et-EE"/>
              </w:rPr>
              <w:t>selle saa</w:t>
            </w:r>
            <w:r w:rsidR="00BA5978">
              <w:rPr>
                <w:rFonts w:ascii="Times New Roman" w:eastAsia="Times New Roman" w:hAnsi="Times New Roman" w:cs="Times New Roman"/>
                <w:bCs/>
                <w:color w:val="000000"/>
                <w:sz w:val="24"/>
                <w:szCs w:val="24"/>
                <w:lang w:eastAsia="et-EE"/>
              </w:rPr>
              <w:t>ks</w:t>
            </w:r>
            <w:r w:rsidRPr="00D84791">
              <w:rPr>
                <w:rFonts w:ascii="Times New Roman" w:eastAsia="Times New Roman" w:hAnsi="Times New Roman" w:cs="Times New Roman"/>
                <w:bCs/>
                <w:color w:val="000000"/>
                <w:sz w:val="24"/>
                <w:szCs w:val="24"/>
                <w:lang w:eastAsia="et-EE"/>
              </w:rPr>
              <w:t xml:space="preserve"> kasutusele võtta väiksemate kohanduste või täiendustega</w:t>
            </w:r>
            <w:r w:rsidRPr="00D84791">
              <w:rPr>
                <w:rFonts w:ascii="Times New Roman" w:eastAsia="Times New Roman" w:hAnsi="Times New Roman" w:cs="Times New Roman"/>
                <w:color w:val="000000"/>
                <w:sz w:val="24"/>
                <w:szCs w:val="24"/>
                <w:lang w:eastAsia="et-EE"/>
              </w:rPr>
              <w:t xml:space="preserve"> (kuni 2 puudust</w:t>
            </w:r>
            <w:r w:rsidR="001D01C8">
              <w:rPr>
                <w:rFonts w:ascii="Times New Roman" w:eastAsia="Times New Roman" w:hAnsi="Times New Roman" w:cs="Times New Roman"/>
                <w:color w:val="000000"/>
                <w:sz w:val="24"/>
                <w:szCs w:val="24"/>
                <w:lang w:eastAsia="et-EE"/>
              </w:rPr>
              <w:t xml:space="preserve"> maksimaalpunktide kirjeldusele vastamiseks*</w:t>
            </w:r>
            <w:r w:rsidRPr="00D84791">
              <w:rPr>
                <w:rFonts w:ascii="Times New Roman" w:eastAsia="Times New Roman" w:hAnsi="Times New Roman" w:cs="Times New Roman"/>
                <w:color w:val="000000"/>
                <w:sz w:val="24"/>
                <w:szCs w:val="24"/>
                <w:lang w:eastAsia="et-EE"/>
              </w:rPr>
              <w:t>).</w:t>
            </w:r>
          </w:p>
        </w:tc>
        <w:tc>
          <w:tcPr>
            <w:tcW w:w="2552"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1C1FECD" w14:textId="1E6214A9" w:rsidR="001A1630" w:rsidRPr="001A1630" w:rsidRDefault="001A1630" w:rsidP="00E12360">
            <w:pPr>
              <w:spacing w:after="0" w:line="276" w:lineRule="auto"/>
              <w:jc w:val="both"/>
              <w:rPr>
                <w:rFonts w:ascii="Times New Roman" w:eastAsia="Times New Roman" w:hAnsi="Times New Roman" w:cs="Times New Roman"/>
                <w:b/>
                <w:bCs/>
                <w:color w:val="000000"/>
                <w:sz w:val="24"/>
                <w:szCs w:val="24"/>
                <w:lang w:eastAsia="et-EE"/>
              </w:rPr>
            </w:pPr>
            <w:r w:rsidRPr="001A1630">
              <w:rPr>
                <w:rFonts w:ascii="Times New Roman" w:eastAsia="Times New Roman" w:hAnsi="Times New Roman" w:cs="Times New Roman"/>
                <w:b/>
                <w:bCs/>
                <w:color w:val="000000"/>
                <w:sz w:val="24"/>
                <w:szCs w:val="24"/>
                <w:lang w:eastAsia="et-EE"/>
              </w:rPr>
              <w:t>0 punkti – kehv</w:t>
            </w:r>
          </w:p>
          <w:p w14:paraId="07EE8706" w14:textId="0E0FF451" w:rsidR="001A1630" w:rsidRPr="00D84791" w:rsidRDefault="001A1630" w:rsidP="00E12360">
            <w:pPr>
              <w:spacing w:after="0" w:line="276" w:lineRule="auto"/>
              <w:jc w:val="both"/>
              <w:rPr>
                <w:rFonts w:ascii="Times New Roman" w:eastAsia="Times New Roman" w:hAnsi="Times New Roman" w:cs="Times New Roman"/>
                <w:sz w:val="24"/>
                <w:szCs w:val="24"/>
                <w:lang w:eastAsia="et-EE"/>
              </w:rPr>
            </w:pPr>
            <w:r w:rsidRPr="00D84791">
              <w:rPr>
                <w:rFonts w:ascii="Times New Roman" w:eastAsia="Times New Roman" w:hAnsi="Times New Roman" w:cs="Times New Roman"/>
                <w:color w:val="000000"/>
                <w:sz w:val="24"/>
                <w:szCs w:val="24"/>
                <w:lang w:eastAsia="et-EE"/>
              </w:rPr>
              <w:t xml:space="preserve">Ajakava on hankija hinnangul esitatud üldiselt ja/või ajakava ei ole realistlik ning </w:t>
            </w:r>
            <w:r w:rsidRPr="00D84791">
              <w:rPr>
                <w:rFonts w:ascii="Times New Roman" w:eastAsia="Times New Roman" w:hAnsi="Times New Roman" w:cs="Times New Roman"/>
                <w:bCs/>
                <w:color w:val="000000"/>
                <w:sz w:val="24"/>
                <w:szCs w:val="24"/>
                <w:lang w:eastAsia="et-EE"/>
              </w:rPr>
              <w:t>selle kasutuselevõtmiseks o</w:t>
            </w:r>
            <w:r w:rsidR="0058095E">
              <w:rPr>
                <w:rFonts w:ascii="Times New Roman" w:eastAsia="Times New Roman" w:hAnsi="Times New Roman" w:cs="Times New Roman"/>
                <w:bCs/>
                <w:color w:val="000000"/>
                <w:sz w:val="24"/>
                <w:szCs w:val="24"/>
                <w:lang w:eastAsia="et-EE"/>
              </w:rPr>
              <w:t>leks</w:t>
            </w:r>
            <w:r w:rsidRPr="00D84791">
              <w:rPr>
                <w:rFonts w:ascii="Times New Roman" w:eastAsia="Times New Roman" w:hAnsi="Times New Roman" w:cs="Times New Roman"/>
                <w:bCs/>
                <w:color w:val="000000"/>
                <w:sz w:val="24"/>
                <w:szCs w:val="24"/>
                <w:lang w:eastAsia="et-EE"/>
              </w:rPr>
              <w:t xml:space="preserve"> vaja olulisel määral teha muudatusi või täiendusi </w:t>
            </w:r>
            <w:r w:rsidRPr="00D84791">
              <w:rPr>
                <w:rFonts w:ascii="Times New Roman" w:eastAsia="Times New Roman" w:hAnsi="Times New Roman" w:cs="Times New Roman"/>
                <w:color w:val="000000"/>
                <w:sz w:val="24"/>
                <w:szCs w:val="24"/>
                <w:lang w:eastAsia="et-EE"/>
              </w:rPr>
              <w:t>(3 ja enam puudust</w:t>
            </w:r>
            <w:r w:rsidR="001D01C8">
              <w:rPr>
                <w:rFonts w:ascii="Times New Roman" w:eastAsia="Times New Roman" w:hAnsi="Times New Roman" w:cs="Times New Roman"/>
                <w:color w:val="000000"/>
                <w:sz w:val="24"/>
                <w:szCs w:val="24"/>
                <w:lang w:eastAsia="et-EE"/>
              </w:rPr>
              <w:t xml:space="preserve"> maksimaalpunktide kirjeldusele vastamiseks*</w:t>
            </w:r>
            <w:r w:rsidRPr="00D84791">
              <w:rPr>
                <w:rFonts w:ascii="Times New Roman" w:eastAsia="Times New Roman" w:hAnsi="Times New Roman" w:cs="Times New Roman"/>
                <w:color w:val="000000"/>
                <w:sz w:val="24"/>
                <w:szCs w:val="24"/>
                <w:lang w:eastAsia="et-EE"/>
              </w:rPr>
              <w:t>).</w:t>
            </w:r>
          </w:p>
        </w:tc>
      </w:tr>
    </w:tbl>
    <w:p w14:paraId="24E0ABE1" w14:textId="77777777" w:rsidR="001A1630" w:rsidRPr="00D84791" w:rsidRDefault="001A1630" w:rsidP="00E12360">
      <w:pPr>
        <w:spacing w:line="276" w:lineRule="auto"/>
        <w:rPr>
          <w:rFonts w:ascii="Times New Roman" w:hAnsi="Times New Roman" w:cs="Times New Roman"/>
          <w:sz w:val="24"/>
          <w:szCs w:val="24"/>
        </w:rPr>
      </w:pPr>
    </w:p>
    <w:p w14:paraId="5A2EAACF" w14:textId="77777777" w:rsidR="001A1630" w:rsidRPr="00D84791" w:rsidRDefault="001A1630" w:rsidP="00E12360">
      <w:pPr>
        <w:spacing w:line="276" w:lineRule="auto"/>
        <w:rPr>
          <w:rFonts w:ascii="Times New Roman" w:hAnsi="Times New Roman" w:cs="Times New Roman"/>
          <w:sz w:val="24"/>
          <w:szCs w:val="24"/>
        </w:rPr>
      </w:pPr>
      <w:r w:rsidRPr="00D84791">
        <w:rPr>
          <w:rFonts w:ascii="Times New Roman" w:hAnsi="Times New Roman" w:cs="Times New Roman"/>
          <w:b/>
          <w:bCs/>
          <w:sz w:val="24"/>
          <w:szCs w:val="24"/>
        </w:rPr>
        <w:t>Kampaania meeskond</w:t>
      </w:r>
      <w:r w:rsidRPr="00D84791">
        <w:rPr>
          <w:rFonts w:ascii="Times New Roman" w:hAnsi="Times New Roman" w:cs="Times New Roman"/>
          <w:sz w:val="24"/>
          <w:szCs w:val="24"/>
        </w:rPr>
        <w:t xml:space="preserve"> – maksimaalne väärtuspunktide arv: 20 p</w:t>
      </w:r>
    </w:p>
    <w:tbl>
      <w:tblPr>
        <w:tblStyle w:val="Kontuurtabel"/>
        <w:tblW w:w="8926" w:type="dxa"/>
        <w:tblLook w:val="04A0" w:firstRow="1" w:lastRow="0" w:firstColumn="1" w:lastColumn="0" w:noHBand="0" w:noVBand="1"/>
      </w:tblPr>
      <w:tblGrid>
        <w:gridCol w:w="3681"/>
        <w:gridCol w:w="2693"/>
        <w:gridCol w:w="2552"/>
      </w:tblGrid>
      <w:tr w:rsidR="001A1630" w:rsidRPr="00D84791" w14:paraId="056AA406" w14:textId="77777777" w:rsidTr="5928E03D">
        <w:tc>
          <w:tcPr>
            <w:tcW w:w="3681" w:type="dxa"/>
          </w:tcPr>
          <w:p w14:paraId="4B5BB066" w14:textId="2B49501B" w:rsidR="001A1630" w:rsidRPr="00D84791" w:rsidRDefault="005B16FD" w:rsidP="00E12360">
            <w:pPr>
              <w:spacing w:line="276" w:lineRule="auto"/>
              <w:jc w:val="both"/>
              <w:rPr>
                <w:rFonts w:ascii="Times New Roman" w:hAnsi="Times New Roman" w:cs="Times New Roman"/>
                <w:sz w:val="24"/>
                <w:szCs w:val="24"/>
              </w:rPr>
            </w:pPr>
            <w:r>
              <w:rPr>
                <w:rFonts w:ascii="Times New Roman" w:hAnsi="Times New Roman" w:cs="Times New Roman"/>
                <w:b/>
                <w:bCs/>
                <w:sz w:val="24"/>
                <w:szCs w:val="24"/>
              </w:rPr>
              <w:t>2</w:t>
            </w:r>
            <w:r w:rsidR="001A1630" w:rsidRPr="001A1630">
              <w:rPr>
                <w:rFonts w:ascii="Times New Roman" w:hAnsi="Times New Roman" w:cs="Times New Roman"/>
                <w:b/>
                <w:bCs/>
                <w:sz w:val="24"/>
                <w:szCs w:val="24"/>
              </w:rPr>
              <w:t>0</w:t>
            </w:r>
            <w:r w:rsidR="001A1630" w:rsidRPr="00D84791">
              <w:rPr>
                <w:rFonts w:ascii="Times New Roman" w:eastAsia="Times New Roman" w:hAnsi="Times New Roman" w:cs="Times New Roman"/>
                <w:b/>
                <w:bCs/>
                <w:color w:val="000000"/>
                <w:sz w:val="24"/>
                <w:szCs w:val="24"/>
                <w:lang w:eastAsia="et-EE"/>
              </w:rPr>
              <w:t xml:space="preserve"> punkti – suurepärane</w:t>
            </w:r>
          </w:p>
          <w:p w14:paraId="178B13CC" w14:textId="77777777" w:rsidR="001A1630" w:rsidRPr="00D84791" w:rsidRDefault="001A1630" w:rsidP="00E12360">
            <w:pPr>
              <w:spacing w:line="276" w:lineRule="auto"/>
              <w:jc w:val="both"/>
              <w:rPr>
                <w:rFonts w:ascii="Times New Roman" w:hAnsi="Times New Roman" w:cs="Times New Roman"/>
                <w:sz w:val="24"/>
                <w:szCs w:val="24"/>
              </w:rPr>
            </w:pPr>
          </w:p>
          <w:p w14:paraId="4D832B50" w14:textId="74A5CD36" w:rsidR="001A1630" w:rsidRPr="00D84791" w:rsidRDefault="001A1630" w:rsidP="00E12360">
            <w:pPr>
              <w:spacing w:line="276" w:lineRule="auto"/>
              <w:jc w:val="both"/>
              <w:rPr>
                <w:rFonts w:ascii="Times New Roman" w:hAnsi="Times New Roman" w:cs="Times New Roman"/>
                <w:sz w:val="24"/>
                <w:szCs w:val="24"/>
              </w:rPr>
            </w:pPr>
            <w:r w:rsidRPr="5928E03D">
              <w:rPr>
                <w:rFonts w:ascii="Times New Roman" w:hAnsi="Times New Roman" w:cs="Times New Roman"/>
                <w:sz w:val="24"/>
                <w:szCs w:val="24"/>
              </w:rPr>
              <w:t xml:space="preserve">Meeskonna koostamisel on lähtutud töö eesmärgist ja metoodikast. Kirjelduses on välja toodud, milliseid ülesandeid iga meeskonnaliige täidab ning seejuures toetavad meeskonnaliikmete oskused ja kogemused töö eesmärgi saavutamist. Pakkuja on välja toonud projekti realiseerimise peavastutaja. Kirjeldatud tööjaotus </w:t>
            </w:r>
            <w:r w:rsidRPr="5928E03D">
              <w:rPr>
                <w:rFonts w:ascii="Times New Roman" w:hAnsi="Times New Roman" w:cs="Times New Roman"/>
                <w:sz w:val="24"/>
                <w:szCs w:val="24"/>
              </w:rPr>
              <w:lastRenderedPageBreak/>
              <w:t>on optimaalne. Meeskonna  tööjaotus võimaldab töö kvaliteetse tegemise lõpptähtajaks.</w:t>
            </w:r>
          </w:p>
        </w:tc>
        <w:tc>
          <w:tcPr>
            <w:tcW w:w="2693" w:type="dxa"/>
          </w:tcPr>
          <w:p w14:paraId="3C216A5D" w14:textId="29EAB0B2" w:rsidR="001A1630" w:rsidRPr="001A1630" w:rsidRDefault="005B16FD" w:rsidP="00E12360">
            <w:pPr>
              <w:spacing w:line="276"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10</w:t>
            </w:r>
            <w:r w:rsidR="001A1630" w:rsidRPr="001A1630">
              <w:rPr>
                <w:rFonts w:ascii="Times New Roman" w:hAnsi="Times New Roman" w:cs="Times New Roman"/>
                <w:b/>
                <w:bCs/>
                <w:sz w:val="24"/>
                <w:szCs w:val="24"/>
              </w:rPr>
              <w:t xml:space="preserve"> punkti – </w:t>
            </w:r>
            <w:r w:rsidR="001A1630">
              <w:rPr>
                <w:rFonts w:ascii="Times New Roman" w:hAnsi="Times New Roman" w:cs="Times New Roman"/>
                <w:b/>
                <w:bCs/>
                <w:sz w:val="24"/>
                <w:szCs w:val="24"/>
              </w:rPr>
              <w:t>hea</w:t>
            </w:r>
            <w:r w:rsidR="001A1630" w:rsidRPr="001A1630">
              <w:rPr>
                <w:rFonts w:ascii="Times New Roman" w:hAnsi="Times New Roman" w:cs="Times New Roman"/>
                <w:b/>
                <w:bCs/>
                <w:sz w:val="24"/>
                <w:szCs w:val="24"/>
              </w:rPr>
              <w:t xml:space="preserve"> </w:t>
            </w:r>
          </w:p>
          <w:p w14:paraId="68FA4481" w14:textId="77777777" w:rsidR="001A1630" w:rsidRPr="00D84791" w:rsidRDefault="001A1630" w:rsidP="00E12360">
            <w:pPr>
              <w:spacing w:line="276" w:lineRule="auto"/>
              <w:jc w:val="both"/>
              <w:rPr>
                <w:rFonts w:ascii="Times New Roman" w:hAnsi="Times New Roman" w:cs="Times New Roman"/>
                <w:sz w:val="24"/>
                <w:szCs w:val="24"/>
              </w:rPr>
            </w:pPr>
          </w:p>
          <w:p w14:paraId="6422F715" w14:textId="531B7446" w:rsidR="001A1630" w:rsidRPr="00D84791" w:rsidRDefault="00373921" w:rsidP="5928E03D">
            <w:pPr>
              <w:spacing w:line="276" w:lineRule="auto"/>
              <w:jc w:val="both"/>
              <w:rPr>
                <w:rFonts w:ascii="Times New Roman" w:eastAsia="Times New Roman" w:hAnsi="Times New Roman" w:cs="Times New Roman"/>
                <w:sz w:val="24"/>
                <w:szCs w:val="24"/>
              </w:rPr>
            </w:pPr>
            <w:r>
              <w:rPr>
                <w:rFonts w:ascii="Times New Roman" w:hAnsi="Times New Roman" w:cs="Times New Roman"/>
                <w:sz w:val="24"/>
                <w:szCs w:val="24"/>
              </w:rPr>
              <w:t>Kirjeldatud m</w:t>
            </w:r>
            <w:r w:rsidR="001A1630" w:rsidRPr="5928E03D">
              <w:rPr>
                <w:rFonts w:ascii="Times New Roman" w:hAnsi="Times New Roman" w:cs="Times New Roman"/>
                <w:sz w:val="24"/>
                <w:szCs w:val="24"/>
              </w:rPr>
              <w:t xml:space="preserve">eeskonna koosseisus ja/või selle tööjaotuse osas sisalduvad puudujäägid või </w:t>
            </w:r>
            <w:r w:rsidR="00E3382A">
              <w:rPr>
                <w:rFonts w:ascii="Times New Roman" w:hAnsi="Times New Roman" w:cs="Times New Roman"/>
                <w:sz w:val="24"/>
                <w:szCs w:val="24"/>
              </w:rPr>
              <w:t xml:space="preserve">esinevad </w:t>
            </w:r>
            <w:r w:rsidR="001A1630" w:rsidRPr="5928E03D">
              <w:rPr>
                <w:rFonts w:ascii="Times New Roman" w:hAnsi="Times New Roman" w:cs="Times New Roman"/>
                <w:sz w:val="24"/>
                <w:szCs w:val="24"/>
              </w:rPr>
              <w:t>vastuolud. Kirjeldus on üldsõnaline. Meeskonna kompetents</w:t>
            </w:r>
            <w:r w:rsidR="74869FC3" w:rsidRPr="5928E03D">
              <w:rPr>
                <w:rFonts w:ascii="Times New Roman" w:eastAsia="Times New Roman" w:hAnsi="Times New Roman" w:cs="Times New Roman"/>
                <w:sz w:val="24"/>
                <w:szCs w:val="24"/>
              </w:rPr>
              <w:t xml:space="preserve"> toetab osaliselt hanke eesmärgi saavutamist.</w:t>
            </w:r>
          </w:p>
        </w:tc>
        <w:tc>
          <w:tcPr>
            <w:tcW w:w="2552" w:type="dxa"/>
          </w:tcPr>
          <w:p w14:paraId="2C6DC1E3" w14:textId="13C8F0A4" w:rsidR="001A1630" w:rsidRPr="001A1630" w:rsidRDefault="001A1630" w:rsidP="00E12360">
            <w:pPr>
              <w:spacing w:line="276" w:lineRule="auto"/>
              <w:jc w:val="both"/>
              <w:rPr>
                <w:rFonts w:ascii="Times New Roman" w:hAnsi="Times New Roman" w:cs="Times New Roman"/>
                <w:b/>
                <w:bCs/>
                <w:sz w:val="24"/>
                <w:szCs w:val="24"/>
              </w:rPr>
            </w:pPr>
            <w:r w:rsidRPr="001A1630">
              <w:rPr>
                <w:rFonts w:ascii="Times New Roman" w:hAnsi="Times New Roman" w:cs="Times New Roman"/>
                <w:b/>
                <w:bCs/>
                <w:sz w:val="24"/>
                <w:szCs w:val="24"/>
              </w:rPr>
              <w:t xml:space="preserve">0 punkti – </w:t>
            </w:r>
            <w:r>
              <w:rPr>
                <w:rFonts w:ascii="Times New Roman" w:hAnsi="Times New Roman" w:cs="Times New Roman"/>
                <w:b/>
                <w:bCs/>
                <w:sz w:val="24"/>
                <w:szCs w:val="24"/>
              </w:rPr>
              <w:t>kehv</w:t>
            </w:r>
            <w:r w:rsidRPr="001A1630">
              <w:rPr>
                <w:rFonts w:ascii="Times New Roman" w:hAnsi="Times New Roman" w:cs="Times New Roman"/>
                <w:b/>
                <w:bCs/>
                <w:sz w:val="24"/>
                <w:szCs w:val="24"/>
              </w:rPr>
              <w:t xml:space="preserve"> </w:t>
            </w:r>
          </w:p>
          <w:p w14:paraId="09B3F277" w14:textId="77777777" w:rsidR="001A1630" w:rsidRPr="00D84791" w:rsidRDefault="001A1630" w:rsidP="00E12360">
            <w:pPr>
              <w:spacing w:line="276" w:lineRule="auto"/>
              <w:jc w:val="both"/>
              <w:rPr>
                <w:rFonts w:ascii="Times New Roman" w:hAnsi="Times New Roman" w:cs="Times New Roman"/>
                <w:sz w:val="24"/>
                <w:szCs w:val="24"/>
              </w:rPr>
            </w:pPr>
          </w:p>
          <w:p w14:paraId="57698044" w14:textId="2CA3DFF6" w:rsidR="001A1630" w:rsidRPr="00D84791" w:rsidRDefault="001A1630" w:rsidP="00E12360">
            <w:pPr>
              <w:spacing w:line="276" w:lineRule="auto"/>
              <w:jc w:val="both"/>
              <w:rPr>
                <w:rFonts w:ascii="Times New Roman" w:hAnsi="Times New Roman" w:cs="Times New Roman"/>
                <w:sz w:val="24"/>
                <w:szCs w:val="24"/>
              </w:rPr>
            </w:pPr>
            <w:r w:rsidRPr="5928E03D">
              <w:rPr>
                <w:rFonts w:ascii="Times New Roman" w:hAnsi="Times New Roman" w:cs="Times New Roman"/>
                <w:sz w:val="24"/>
                <w:szCs w:val="24"/>
              </w:rPr>
              <w:t xml:space="preserve">Meeskonna koosseis ja/või selle kirjeldus ei </w:t>
            </w:r>
            <w:r w:rsidR="16645ED9" w:rsidRPr="5928E03D">
              <w:rPr>
                <w:rFonts w:ascii="Times New Roman" w:hAnsi="Times New Roman" w:cs="Times New Roman"/>
                <w:sz w:val="24"/>
                <w:szCs w:val="24"/>
              </w:rPr>
              <w:t>toeta hanke eesmärgi saavutamist</w:t>
            </w:r>
            <w:r w:rsidRPr="5928E03D">
              <w:rPr>
                <w:rFonts w:ascii="Times New Roman" w:hAnsi="Times New Roman" w:cs="Times New Roman"/>
                <w:sz w:val="24"/>
                <w:szCs w:val="24"/>
              </w:rPr>
              <w:t>.</w:t>
            </w:r>
          </w:p>
        </w:tc>
      </w:tr>
    </w:tbl>
    <w:p w14:paraId="5A14E26B" w14:textId="77777777" w:rsidR="00BB748A" w:rsidRPr="00D84791" w:rsidRDefault="00BB748A" w:rsidP="00E12360">
      <w:pPr>
        <w:spacing w:line="276" w:lineRule="auto"/>
        <w:jc w:val="both"/>
        <w:rPr>
          <w:rFonts w:ascii="Times New Roman" w:hAnsi="Times New Roman" w:cs="Times New Roman"/>
          <w:sz w:val="24"/>
          <w:szCs w:val="24"/>
        </w:rPr>
      </w:pPr>
    </w:p>
    <w:p w14:paraId="677FB306" w14:textId="47461077" w:rsidR="001A1630" w:rsidRDefault="4D9CD521" w:rsidP="5928E03D">
      <w:pPr>
        <w:spacing w:after="0" w:line="276" w:lineRule="auto"/>
        <w:jc w:val="both"/>
        <w:rPr>
          <w:rFonts w:ascii="Times New Roman" w:eastAsia="Times New Roman" w:hAnsi="Times New Roman" w:cs="Times New Roman"/>
          <w:i/>
          <w:iCs/>
          <w:sz w:val="24"/>
          <w:szCs w:val="24"/>
          <w:lang w:eastAsia="et-EE"/>
        </w:rPr>
      </w:pPr>
      <w:r w:rsidRPr="5928E03D">
        <w:rPr>
          <w:rFonts w:ascii="Times New Roman" w:eastAsia="Times New Roman" w:hAnsi="Times New Roman" w:cs="Times New Roman"/>
          <w:i/>
          <w:iCs/>
          <w:sz w:val="24"/>
          <w:szCs w:val="24"/>
          <w:lang w:eastAsia="et-EE"/>
        </w:rPr>
        <w:t>*</w:t>
      </w:r>
      <w:r w:rsidRPr="5928E03D">
        <w:rPr>
          <w:rFonts w:ascii="Times New Roman" w:eastAsia="Times New Roman" w:hAnsi="Times New Roman" w:cs="Times New Roman"/>
          <w:i/>
          <w:iCs/>
          <w:color w:val="000000" w:themeColor="text1"/>
          <w:sz w:val="24"/>
          <w:szCs w:val="24"/>
          <w:lang w:eastAsia="et-EE"/>
        </w:rPr>
        <w:t>Hindamiskomisjon hindab alakriteeriumi maksimaalse skooriga, kui kõik alakriteeriumis nimetatud tingimused on täidetud, mistõttu kui maksimaalsete hindepunktide saamiseks ei ole kogu koosseis täidetud, tuleb hankijal hinnata igal juhul madalamate hindepunktide koosseisude alusel.</w:t>
      </w:r>
    </w:p>
    <w:p w14:paraId="27EAE1F2" w14:textId="0C252D62" w:rsidR="5928E03D" w:rsidRDefault="5928E03D" w:rsidP="5928E03D">
      <w:pPr>
        <w:spacing w:line="276" w:lineRule="auto"/>
        <w:jc w:val="both"/>
        <w:rPr>
          <w:rFonts w:ascii="Times New Roman" w:hAnsi="Times New Roman" w:cs="Times New Roman"/>
          <w:sz w:val="24"/>
          <w:szCs w:val="24"/>
        </w:rPr>
      </w:pPr>
    </w:p>
    <w:p w14:paraId="072A0C12" w14:textId="47500777" w:rsidR="00473774" w:rsidRPr="001A1630" w:rsidRDefault="001C6919" w:rsidP="00E12360">
      <w:pPr>
        <w:pStyle w:val="Pealkiri3"/>
        <w:spacing w:line="276" w:lineRule="auto"/>
        <w:ind w:left="708"/>
        <w:rPr>
          <w:b/>
          <w:bCs/>
        </w:rPr>
      </w:pPr>
      <w:r w:rsidRPr="001A1630">
        <w:rPr>
          <w:b/>
          <w:bCs/>
        </w:rPr>
        <w:t>6</w:t>
      </w:r>
      <w:r w:rsidR="00473774" w:rsidRPr="001A1630">
        <w:rPr>
          <w:b/>
          <w:bCs/>
        </w:rPr>
        <w:t>. Pakkumuse edukaks tunnistamine</w:t>
      </w:r>
    </w:p>
    <w:p w14:paraId="731DB307" w14:textId="19F9E7A0"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Punktis </w:t>
      </w:r>
      <w:r w:rsidR="001C6919" w:rsidRPr="00D84791">
        <w:rPr>
          <w:rFonts w:ascii="Times New Roman" w:hAnsi="Times New Roman" w:cs="Times New Roman"/>
          <w:sz w:val="24"/>
          <w:szCs w:val="24"/>
        </w:rPr>
        <w:t>5</w:t>
      </w:r>
      <w:r w:rsidRPr="00D84791">
        <w:rPr>
          <w:rFonts w:ascii="Times New Roman" w:hAnsi="Times New Roman" w:cs="Times New Roman"/>
          <w:sz w:val="24"/>
          <w:szCs w:val="24"/>
        </w:rPr>
        <w:t>.3.1</w:t>
      </w:r>
      <w:r w:rsidR="001A1630">
        <w:rPr>
          <w:rFonts w:ascii="Times New Roman" w:hAnsi="Times New Roman" w:cs="Times New Roman"/>
          <w:sz w:val="24"/>
          <w:szCs w:val="24"/>
        </w:rPr>
        <w:t xml:space="preserve"> </w:t>
      </w:r>
      <w:r w:rsidRPr="00D84791">
        <w:rPr>
          <w:rFonts w:ascii="Times New Roman" w:hAnsi="Times New Roman" w:cs="Times New Roman"/>
          <w:sz w:val="24"/>
          <w:szCs w:val="24"/>
        </w:rPr>
        <w:t xml:space="preserve">saavutatud punktisumma </w:t>
      </w:r>
      <w:r w:rsidR="001A1630">
        <w:rPr>
          <w:rFonts w:ascii="Times New Roman" w:hAnsi="Times New Roman" w:cs="Times New Roman"/>
          <w:sz w:val="24"/>
          <w:szCs w:val="24"/>
        </w:rPr>
        <w:t>põhjal tunnistab</w:t>
      </w:r>
      <w:r w:rsidRPr="00D84791">
        <w:rPr>
          <w:rFonts w:ascii="Times New Roman" w:hAnsi="Times New Roman" w:cs="Times New Roman"/>
          <w:sz w:val="24"/>
          <w:szCs w:val="24"/>
        </w:rPr>
        <w:t xml:space="preserve"> hankija edukaks eeltoodud kriteeriumide alusel enim väärtuspunkte kokku kogunud pakkumuse.</w:t>
      </w:r>
    </w:p>
    <w:p w14:paraId="5E681C08" w14:textId="3A21CEBA"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Juhul, kui kaks või enam pakkumust on võrdsete punktisummadega, selgitatakse edukas pakkumus välja liisuheitmise teel. Liisuheitmise korra määrab hankija. Võrdväärse pakkumuse esitanud pakkujatel on õigus viibida liisuheitmise juures. Liisuheitmise korrast, ajast ja kohast teavitab hankija pakkujaid e-maili teel pakkuja poolt esitatud kontaktandmetel.</w:t>
      </w:r>
    </w:p>
    <w:p w14:paraId="5B083CDD" w14:textId="77777777"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Pakkumuse esitamisega kinnitab pakkuja, et ta:</w:t>
      </w:r>
    </w:p>
    <w:p w14:paraId="6613E1F2" w14:textId="3FD92456" w:rsidR="00473774" w:rsidRPr="00D84791" w:rsidRDefault="00473774" w:rsidP="00E12360">
      <w:pPr>
        <w:spacing w:line="276" w:lineRule="auto"/>
        <w:jc w:val="both"/>
        <w:rPr>
          <w:rFonts w:ascii="Times New Roman" w:hAnsi="Times New Roman" w:cs="Times New Roman"/>
          <w:sz w:val="24"/>
          <w:szCs w:val="24"/>
        </w:rPr>
      </w:pPr>
      <w:r w:rsidRPr="00D84791">
        <w:rPr>
          <w:rFonts w:ascii="Symbol" w:eastAsia="Symbol" w:hAnsi="Symbol" w:cs="Symbol"/>
          <w:sz w:val="24"/>
          <w:szCs w:val="24"/>
        </w:rPr>
        <w:t>·</w:t>
      </w:r>
      <w:r w:rsidRPr="00D84791">
        <w:rPr>
          <w:rFonts w:ascii="Times New Roman" w:hAnsi="Times New Roman" w:cs="Times New Roman"/>
          <w:sz w:val="24"/>
          <w:szCs w:val="24"/>
        </w:rPr>
        <w:t xml:space="preserve"> nõustub kõikide pakkumuse kutses esitatud tingimustega, sh hankelepingu projektis sätestatud lepingu tingimustega; </w:t>
      </w:r>
    </w:p>
    <w:p w14:paraId="23CFDDD4" w14:textId="77777777" w:rsidR="00473774" w:rsidRPr="00D84791" w:rsidRDefault="00473774" w:rsidP="00E12360">
      <w:pPr>
        <w:spacing w:line="276" w:lineRule="auto"/>
        <w:jc w:val="both"/>
        <w:rPr>
          <w:rFonts w:ascii="Times New Roman" w:hAnsi="Times New Roman" w:cs="Times New Roman"/>
          <w:sz w:val="24"/>
          <w:szCs w:val="24"/>
        </w:rPr>
      </w:pPr>
      <w:r w:rsidRPr="00D84791">
        <w:rPr>
          <w:rFonts w:ascii="Symbol" w:eastAsia="Symbol" w:hAnsi="Symbol" w:cs="Symbol"/>
          <w:sz w:val="24"/>
          <w:szCs w:val="24"/>
        </w:rPr>
        <w:t>·</w:t>
      </w:r>
      <w:r w:rsidRPr="00D84791">
        <w:rPr>
          <w:rFonts w:ascii="Times New Roman" w:hAnsi="Times New Roman" w:cs="Times New Roman"/>
          <w:sz w:val="24"/>
          <w:szCs w:val="24"/>
        </w:rPr>
        <w:t xml:space="preserve"> pakkumus on jõus vähemalt 90 päeva pakkumuste esitamise tähtpäevast arvates.</w:t>
      </w:r>
    </w:p>
    <w:p w14:paraId="787DCA7B" w14:textId="77777777" w:rsidR="00473774" w:rsidRPr="00D84791" w:rsidRDefault="00473774" w:rsidP="00E12360">
      <w:pPr>
        <w:spacing w:line="276" w:lineRule="auto"/>
        <w:jc w:val="both"/>
        <w:rPr>
          <w:rFonts w:ascii="Times New Roman" w:hAnsi="Times New Roman" w:cs="Times New Roman"/>
          <w:sz w:val="24"/>
          <w:szCs w:val="24"/>
        </w:rPr>
      </w:pPr>
    </w:p>
    <w:p w14:paraId="4C6F21D5" w14:textId="3432C1C6"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 xml:space="preserve">Hankija kontaktisik, kes jagab selgitusi hankega seotud küsimustes, on </w:t>
      </w:r>
      <w:r w:rsidR="001C6919" w:rsidRPr="00D84791">
        <w:rPr>
          <w:rFonts w:ascii="Times New Roman" w:hAnsi="Times New Roman" w:cs="Times New Roman"/>
          <w:sz w:val="24"/>
          <w:szCs w:val="24"/>
        </w:rPr>
        <w:t>Aap Andreas Rebas</w:t>
      </w:r>
      <w:r w:rsidRPr="00D84791">
        <w:rPr>
          <w:rFonts w:ascii="Times New Roman" w:hAnsi="Times New Roman" w:cs="Times New Roman"/>
          <w:sz w:val="24"/>
          <w:szCs w:val="24"/>
        </w:rPr>
        <w:t xml:space="preserve">, </w:t>
      </w:r>
      <w:hyperlink r:id="rId13" w:history="1">
        <w:r w:rsidR="001C6919" w:rsidRPr="00D84791">
          <w:rPr>
            <w:rStyle w:val="Hperlink"/>
            <w:rFonts w:ascii="Times New Roman" w:hAnsi="Times New Roman" w:cs="Times New Roman"/>
            <w:sz w:val="24"/>
            <w:szCs w:val="24"/>
          </w:rPr>
          <w:t>aapandreas.rebas@ttja.ee</w:t>
        </w:r>
      </w:hyperlink>
      <w:r w:rsidRPr="00D84791">
        <w:rPr>
          <w:rFonts w:ascii="Times New Roman" w:hAnsi="Times New Roman" w:cs="Times New Roman"/>
          <w:sz w:val="24"/>
          <w:szCs w:val="24"/>
        </w:rPr>
        <w:t>. Hankijal ei ole kohustust vastata hankega seotud küsimustele, mis on esitatud hiljem kui 2 tööpäeva enne pakkumuste esitamise tähtaja saabumist.</w:t>
      </w:r>
    </w:p>
    <w:p w14:paraId="4E8AC0A0" w14:textId="494642B8" w:rsidR="00473774" w:rsidRPr="00D84791" w:rsidRDefault="00473774" w:rsidP="00E12360">
      <w:pPr>
        <w:spacing w:line="276" w:lineRule="auto"/>
        <w:jc w:val="both"/>
        <w:rPr>
          <w:rFonts w:ascii="Times New Roman" w:hAnsi="Times New Roman" w:cs="Times New Roman"/>
          <w:b/>
          <w:bCs/>
          <w:sz w:val="24"/>
          <w:szCs w:val="24"/>
        </w:rPr>
      </w:pPr>
      <w:r w:rsidRPr="00D84791">
        <w:rPr>
          <w:rFonts w:ascii="Times New Roman" w:hAnsi="Times New Roman" w:cs="Times New Roman"/>
          <w:b/>
          <w:bCs/>
          <w:sz w:val="24"/>
          <w:szCs w:val="24"/>
        </w:rPr>
        <w:t>TTJA jätab endale õiguse lükata tagasi kõik esitatud pakkumused sõltumata põhjus(t)</w:t>
      </w:r>
      <w:proofErr w:type="spellStart"/>
      <w:r w:rsidRPr="00D84791">
        <w:rPr>
          <w:rFonts w:ascii="Times New Roman" w:hAnsi="Times New Roman" w:cs="Times New Roman"/>
          <w:b/>
          <w:bCs/>
          <w:sz w:val="24"/>
          <w:szCs w:val="24"/>
        </w:rPr>
        <w:t>est</w:t>
      </w:r>
      <w:proofErr w:type="spellEnd"/>
      <w:r w:rsidRPr="00D84791">
        <w:rPr>
          <w:rFonts w:ascii="Times New Roman" w:hAnsi="Times New Roman" w:cs="Times New Roman"/>
          <w:b/>
          <w:bCs/>
          <w:sz w:val="24"/>
          <w:szCs w:val="24"/>
        </w:rPr>
        <w:t xml:space="preserve">. </w:t>
      </w:r>
    </w:p>
    <w:p w14:paraId="4AC30ED3" w14:textId="1A4091B0" w:rsidR="00473774"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Vaidlustuse esitamisele riigihankes, mille eeldatav maksumus on väiksem kui RHS § 14 lõikes 1 sätestatud lihthanke piirmäär, kohaldatakse lihthankemenetluses vaidlustuse esitamisele sätestatud tähtaegu (RHS § 189 lg 4</w:t>
      </w:r>
      <w:r w:rsidRPr="00D84791">
        <w:rPr>
          <w:rFonts w:ascii="Times New Roman" w:hAnsi="Times New Roman" w:cs="Times New Roman"/>
          <w:sz w:val="24"/>
          <w:szCs w:val="24"/>
          <w:vertAlign w:val="superscript"/>
        </w:rPr>
        <w:t>1</w:t>
      </w:r>
      <w:r w:rsidRPr="00D84791">
        <w:rPr>
          <w:rFonts w:ascii="Times New Roman" w:hAnsi="Times New Roman" w:cs="Times New Roman"/>
          <w:sz w:val="24"/>
          <w:szCs w:val="24"/>
        </w:rPr>
        <w:t>).</w:t>
      </w:r>
    </w:p>
    <w:p w14:paraId="38FB71B8" w14:textId="56C1913E" w:rsidR="00C62C0B" w:rsidRPr="00D84791" w:rsidRDefault="00473774" w:rsidP="00E12360">
      <w:pPr>
        <w:spacing w:line="276" w:lineRule="auto"/>
        <w:jc w:val="both"/>
        <w:rPr>
          <w:rFonts w:ascii="Times New Roman" w:hAnsi="Times New Roman" w:cs="Times New Roman"/>
          <w:sz w:val="24"/>
          <w:szCs w:val="24"/>
        </w:rPr>
      </w:pPr>
      <w:r w:rsidRPr="00D84791">
        <w:rPr>
          <w:rFonts w:ascii="Times New Roman" w:hAnsi="Times New Roman" w:cs="Times New Roman"/>
          <w:sz w:val="24"/>
          <w:szCs w:val="24"/>
        </w:rPr>
        <w:t>Lisa 1 – Hankelepingu projekt</w:t>
      </w:r>
    </w:p>
    <w:sectPr w:rsidR="00C62C0B" w:rsidRPr="00D847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2FBB"/>
    <w:multiLevelType w:val="multilevel"/>
    <w:tmpl w:val="87240D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3D726D"/>
    <w:multiLevelType w:val="hybridMultilevel"/>
    <w:tmpl w:val="07602834"/>
    <w:lvl w:ilvl="0" w:tplc="04250001">
      <w:start w:val="1"/>
      <w:numFmt w:val="bullet"/>
      <w:lvlText w:val=""/>
      <w:lvlJc w:val="left"/>
      <w:pPr>
        <w:ind w:left="360" w:hanging="360"/>
      </w:pPr>
      <w:rPr>
        <w:rFonts w:ascii="Symbol" w:hAnsi="Symbol" w:hint="default"/>
      </w:rPr>
    </w:lvl>
    <w:lvl w:ilvl="1" w:tplc="04250003">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abstractNum w:abstractNumId="2" w15:restartNumberingAfterBreak="0">
    <w:nsid w:val="0C705AD5"/>
    <w:multiLevelType w:val="multilevel"/>
    <w:tmpl w:val="A7AE6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74206"/>
    <w:multiLevelType w:val="hybridMultilevel"/>
    <w:tmpl w:val="25F8ED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AD91BD8"/>
    <w:multiLevelType w:val="hybridMultilevel"/>
    <w:tmpl w:val="9BE082CE"/>
    <w:lvl w:ilvl="0" w:tplc="0425000F">
      <w:start w:val="1"/>
      <w:numFmt w:val="decimal"/>
      <w:lvlText w:val="%1."/>
      <w:lvlJc w:val="left"/>
      <w:pPr>
        <w:ind w:left="720" w:hanging="360"/>
      </w:p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1B2B02E1"/>
    <w:multiLevelType w:val="multilevel"/>
    <w:tmpl w:val="3DBA80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BF3409"/>
    <w:multiLevelType w:val="hybridMultilevel"/>
    <w:tmpl w:val="0CC0727E"/>
    <w:lvl w:ilvl="0" w:tplc="BD9CB2D8">
      <w:start w:val="2"/>
      <w:numFmt w:val="lowerLetter"/>
      <w:lvlText w:val="%1."/>
      <w:lvlJc w:val="left"/>
      <w:pPr>
        <w:tabs>
          <w:tab w:val="num" w:pos="720"/>
        </w:tabs>
        <w:ind w:left="720" w:hanging="360"/>
      </w:pPr>
    </w:lvl>
    <w:lvl w:ilvl="1" w:tplc="90326198" w:tentative="1">
      <w:start w:val="1"/>
      <w:numFmt w:val="decimal"/>
      <w:lvlText w:val="%2."/>
      <w:lvlJc w:val="left"/>
      <w:pPr>
        <w:tabs>
          <w:tab w:val="num" w:pos="1440"/>
        </w:tabs>
        <w:ind w:left="1440" w:hanging="360"/>
      </w:pPr>
    </w:lvl>
    <w:lvl w:ilvl="2" w:tplc="8BF6FEBA" w:tentative="1">
      <w:start w:val="1"/>
      <w:numFmt w:val="decimal"/>
      <w:lvlText w:val="%3."/>
      <w:lvlJc w:val="left"/>
      <w:pPr>
        <w:tabs>
          <w:tab w:val="num" w:pos="2160"/>
        </w:tabs>
        <w:ind w:left="2160" w:hanging="360"/>
      </w:pPr>
    </w:lvl>
    <w:lvl w:ilvl="3" w:tplc="AA6A1BC4" w:tentative="1">
      <w:start w:val="1"/>
      <w:numFmt w:val="decimal"/>
      <w:lvlText w:val="%4."/>
      <w:lvlJc w:val="left"/>
      <w:pPr>
        <w:tabs>
          <w:tab w:val="num" w:pos="2880"/>
        </w:tabs>
        <w:ind w:left="2880" w:hanging="360"/>
      </w:pPr>
    </w:lvl>
    <w:lvl w:ilvl="4" w:tplc="B7F60F5A" w:tentative="1">
      <w:start w:val="1"/>
      <w:numFmt w:val="decimal"/>
      <w:lvlText w:val="%5."/>
      <w:lvlJc w:val="left"/>
      <w:pPr>
        <w:tabs>
          <w:tab w:val="num" w:pos="3600"/>
        </w:tabs>
        <w:ind w:left="3600" w:hanging="360"/>
      </w:pPr>
    </w:lvl>
    <w:lvl w:ilvl="5" w:tplc="2FD2190C" w:tentative="1">
      <w:start w:val="1"/>
      <w:numFmt w:val="decimal"/>
      <w:lvlText w:val="%6."/>
      <w:lvlJc w:val="left"/>
      <w:pPr>
        <w:tabs>
          <w:tab w:val="num" w:pos="4320"/>
        </w:tabs>
        <w:ind w:left="4320" w:hanging="360"/>
      </w:pPr>
    </w:lvl>
    <w:lvl w:ilvl="6" w:tplc="2F8C7618" w:tentative="1">
      <w:start w:val="1"/>
      <w:numFmt w:val="decimal"/>
      <w:lvlText w:val="%7."/>
      <w:lvlJc w:val="left"/>
      <w:pPr>
        <w:tabs>
          <w:tab w:val="num" w:pos="5040"/>
        </w:tabs>
        <w:ind w:left="5040" w:hanging="360"/>
      </w:pPr>
    </w:lvl>
    <w:lvl w:ilvl="7" w:tplc="0278366E" w:tentative="1">
      <w:start w:val="1"/>
      <w:numFmt w:val="decimal"/>
      <w:lvlText w:val="%8."/>
      <w:lvlJc w:val="left"/>
      <w:pPr>
        <w:tabs>
          <w:tab w:val="num" w:pos="5760"/>
        </w:tabs>
        <w:ind w:left="5760" w:hanging="360"/>
      </w:pPr>
    </w:lvl>
    <w:lvl w:ilvl="8" w:tplc="741E0D36" w:tentative="1">
      <w:start w:val="1"/>
      <w:numFmt w:val="decimal"/>
      <w:lvlText w:val="%9."/>
      <w:lvlJc w:val="left"/>
      <w:pPr>
        <w:tabs>
          <w:tab w:val="num" w:pos="6480"/>
        </w:tabs>
        <w:ind w:left="6480" w:hanging="360"/>
      </w:pPr>
    </w:lvl>
  </w:abstractNum>
  <w:abstractNum w:abstractNumId="7" w15:restartNumberingAfterBreak="0">
    <w:nsid w:val="1EE15358"/>
    <w:multiLevelType w:val="multilevel"/>
    <w:tmpl w:val="5FCED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0B40FD"/>
    <w:multiLevelType w:val="multilevel"/>
    <w:tmpl w:val="B4221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863B5"/>
    <w:multiLevelType w:val="multilevel"/>
    <w:tmpl w:val="A7B45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05D22C6"/>
    <w:multiLevelType w:val="multilevel"/>
    <w:tmpl w:val="5926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8E6A3B"/>
    <w:multiLevelType w:val="hybridMultilevel"/>
    <w:tmpl w:val="E3D286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CA82965"/>
    <w:multiLevelType w:val="hybridMultilevel"/>
    <w:tmpl w:val="91247E48"/>
    <w:lvl w:ilvl="0" w:tplc="0A1062F4">
      <w:numFmt w:val="bullet"/>
      <w:lvlText w:val=""/>
      <w:lvlJc w:val="left"/>
      <w:pPr>
        <w:ind w:left="720" w:hanging="360"/>
      </w:pPr>
      <w:rPr>
        <w:rFonts w:ascii="Symbol" w:eastAsiaTheme="minorHAns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281719A"/>
    <w:multiLevelType w:val="multilevel"/>
    <w:tmpl w:val="DCA8D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2F4326A"/>
    <w:multiLevelType w:val="multilevel"/>
    <w:tmpl w:val="DAEC3CA0"/>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F1C0DCB"/>
    <w:multiLevelType w:val="hybridMultilevel"/>
    <w:tmpl w:val="771A8CCA"/>
    <w:lvl w:ilvl="0" w:tplc="A9409712">
      <w:start w:val="1"/>
      <w:numFmt w:val="decimal"/>
      <w:lvlText w:val="%1)"/>
      <w:lvlJc w:val="left"/>
      <w:pPr>
        <w:ind w:left="720" w:hanging="360"/>
      </w:pPr>
      <w:rPr>
        <w:rFonts w:ascii="Times New Roman" w:eastAsiaTheme="minorHAns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70044AA"/>
    <w:multiLevelType w:val="hybridMultilevel"/>
    <w:tmpl w:val="D18A103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7" w15:restartNumberingAfterBreak="0">
    <w:nsid w:val="790D3EE5"/>
    <w:multiLevelType w:val="multilevel"/>
    <w:tmpl w:val="12D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ACC2F1E"/>
    <w:multiLevelType w:val="multilevel"/>
    <w:tmpl w:val="8376D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E5A1330"/>
    <w:multiLevelType w:val="multilevel"/>
    <w:tmpl w:val="B2FE4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6666151">
    <w:abstractNumId w:val="5"/>
    <w:lvlOverride w:ilvl="0">
      <w:lvl w:ilvl="0">
        <w:numFmt w:val="lowerLetter"/>
        <w:lvlText w:val="%1."/>
        <w:lvlJc w:val="left"/>
      </w:lvl>
    </w:lvlOverride>
  </w:num>
  <w:num w:numId="2" w16cid:durableId="118955284">
    <w:abstractNumId w:val="5"/>
    <w:lvlOverride w:ilvl="0">
      <w:lvl w:ilvl="0">
        <w:numFmt w:val="lowerLetter"/>
        <w:lvlText w:val="%1."/>
        <w:lvlJc w:val="left"/>
      </w:lvl>
    </w:lvlOverride>
  </w:num>
  <w:num w:numId="3" w16cid:durableId="1385131994">
    <w:abstractNumId w:val="5"/>
    <w:lvlOverride w:ilvl="0">
      <w:lvl w:ilvl="0">
        <w:numFmt w:val="lowerLetter"/>
        <w:lvlText w:val="%1."/>
        <w:lvlJc w:val="left"/>
      </w:lvl>
    </w:lvlOverride>
  </w:num>
  <w:num w:numId="4" w16cid:durableId="1019433306">
    <w:abstractNumId w:val="5"/>
    <w:lvlOverride w:ilvl="0">
      <w:lvl w:ilvl="0">
        <w:numFmt w:val="lowerLetter"/>
        <w:lvlText w:val="%1."/>
        <w:lvlJc w:val="left"/>
      </w:lvl>
    </w:lvlOverride>
  </w:num>
  <w:num w:numId="5" w16cid:durableId="907542732">
    <w:abstractNumId w:val="5"/>
    <w:lvlOverride w:ilvl="0">
      <w:lvl w:ilvl="0">
        <w:numFmt w:val="lowerLetter"/>
        <w:lvlText w:val="%1."/>
        <w:lvlJc w:val="left"/>
      </w:lvl>
    </w:lvlOverride>
  </w:num>
  <w:num w:numId="6" w16cid:durableId="1021474677">
    <w:abstractNumId w:val="8"/>
    <w:lvlOverride w:ilvl="0">
      <w:lvl w:ilvl="0">
        <w:numFmt w:val="lowerLetter"/>
        <w:lvlText w:val="%1."/>
        <w:lvlJc w:val="left"/>
      </w:lvl>
    </w:lvlOverride>
  </w:num>
  <w:num w:numId="7" w16cid:durableId="581061823">
    <w:abstractNumId w:val="7"/>
  </w:num>
  <w:num w:numId="8" w16cid:durableId="307250593">
    <w:abstractNumId w:val="6"/>
  </w:num>
  <w:num w:numId="9" w16cid:durableId="1756589930">
    <w:abstractNumId w:val="0"/>
  </w:num>
  <w:num w:numId="10" w16cid:durableId="106899524">
    <w:abstractNumId w:val="19"/>
  </w:num>
  <w:num w:numId="11" w16cid:durableId="1171529594">
    <w:abstractNumId w:val="17"/>
  </w:num>
  <w:num w:numId="12" w16cid:durableId="1103301599">
    <w:abstractNumId w:val="13"/>
  </w:num>
  <w:num w:numId="13" w16cid:durableId="1612544669">
    <w:abstractNumId w:val="2"/>
  </w:num>
  <w:num w:numId="14" w16cid:durableId="1065642649">
    <w:abstractNumId w:val="9"/>
  </w:num>
  <w:num w:numId="15" w16cid:durableId="1937440964">
    <w:abstractNumId w:val="10"/>
  </w:num>
  <w:num w:numId="16" w16cid:durableId="554241489">
    <w:abstractNumId w:val="18"/>
  </w:num>
  <w:num w:numId="17" w16cid:durableId="1971090046">
    <w:abstractNumId w:val="4"/>
  </w:num>
  <w:num w:numId="18" w16cid:durableId="153566621">
    <w:abstractNumId w:val="16"/>
  </w:num>
  <w:num w:numId="19" w16cid:durableId="484853638">
    <w:abstractNumId w:val="15"/>
  </w:num>
  <w:num w:numId="20" w16cid:durableId="1893694380">
    <w:abstractNumId w:val="1"/>
  </w:num>
  <w:num w:numId="21" w16cid:durableId="749541080">
    <w:abstractNumId w:val="3"/>
  </w:num>
  <w:num w:numId="22" w16cid:durableId="1229532679">
    <w:abstractNumId w:val="12"/>
  </w:num>
  <w:num w:numId="23" w16cid:durableId="1310397948">
    <w:abstractNumId w:val="14"/>
  </w:num>
  <w:num w:numId="24" w16cid:durableId="13342627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3774"/>
    <w:rsid w:val="000011FC"/>
    <w:rsid w:val="00015D47"/>
    <w:rsid w:val="00025A23"/>
    <w:rsid w:val="000361FF"/>
    <w:rsid w:val="0004020B"/>
    <w:rsid w:val="0004154E"/>
    <w:rsid w:val="00074363"/>
    <w:rsid w:val="00094966"/>
    <w:rsid w:val="000A2659"/>
    <w:rsid w:val="000D57E8"/>
    <w:rsid w:val="000E2AE1"/>
    <w:rsid w:val="000F6BAB"/>
    <w:rsid w:val="00101406"/>
    <w:rsid w:val="00115D27"/>
    <w:rsid w:val="00117DBF"/>
    <w:rsid w:val="0013125F"/>
    <w:rsid w:val="00135DED"/>
    <w:rsid w:val="00144F5F"/>
    <w:rsid w:val="001A1630"/>
    <w:rsid w:val="001B51C3"/>
    <w:rsid w:val="001C6919"/>
    <w:rsid w:val="001D01C8"/>
    <w:rsid w:val="001E14C8"/>
    <w:rsid w:val="0022167D"/>
    <w:rsid w:val="00257B59"/>
    <w:rsid w:val="00265FE2"/>
    <w:rsid w:val="00272EBF"/>
    <w:rsid w:val="00273F73"/>
    <w:rsid w:val="002B1277"/>
    <w:rsid w:val="00343340"/>
    <w:rsid w:val="003467F8"/>
    <w:rsid w:val="003641E5"/>
    <w:rsid w:val="003650B6"/>
    <w:rsid w:val="00373921"/>
    <w:rsid w:val="00387EA7"/>
    <w:rsid w:val="003B5911"/>
    <w:rsid w:val="003E1BDC"/>
    <w:rsid w:val="003F79BD"/>
    <w:rsid w:val="004274A9"/>
    <w:rsid w:val="00437A6B"/>
    <w:rsid w:val="0045021F"/>
    <w:rsid w:val="0045625E"/>
    <w:rsid w:val="00473774"/>
    <w:rsid w:val="004751E4"/>
    <w:rsid w:val="0049170F"/>
    <w:rsid w:val="004C3445"/>
    <w:rsid w:val="004C4A05"/>
    <w:rsid w:val="004D3316"/>
    <w:rsid w:val="005227FC"/>
    <w:rsid w:val="00542A88"/>
    <w:rsid w:val="00552D21"/>
    <w:rsid w:val="0058095E"/>
    <w:rsid w:val="005B16FD"/>
    <w:rsid w:val="005C249F"/>
    <w:rsid w:val="0062110F"/>
    <w:rsid w:val="00632367"/>
    <w:rsid w:val="00651B28"/>
    <w:rsid w:val="006645AD"/>
    <w:rsid w:val="00677846"/>
    <w:rsid w:val="0068298C"/>
    <w:rsid w:val="006834FE"/>
    <w:rsid w:val="00690BD4"/>
    <w:rsid w:val="006A2610"/>
    <w:rsid w:val="006A3A0A"/>
    <w:rsid w:val="006B7126"/>
    <w:rsid w:val="006C0863"/>
    <w:rsid w:val="006C472E"/>
    <w:rsid w:val="006D4981"/>
    <w:rsid w:val="006F393D"/>
    <w:rsid w:val="00713D48"/>
    <w:rsid w:val="00756387"/>
    <w:rsid w:val="007625E7"/>
    <w:rsid w:val="00781162"/>
    <w:rsid w:val="00782614"/>
    <w:rsid w:val="00784E6F"/>
    <w:rsid w:val="007A1D8B"/>
    <w:rsid w:val="007A36D0"/>
    <w:rsid w:val="007F3018"/>
    <w:rsid w:val="008409BE"/>
    <w:rsid w:val="0086127E"/>
    <w:rsid w:val="00874063"/>
    <w:rsid w:val="008E0E72"/>
    <w:rsid w:val="008F01D4"/>
    <w:rsid w:val="008F770D"/>
    <w:rsid w:val="00905BBA"/>
    <w:rsid w:val="00927B82"/>
    <w:rsid w:val="00927ED4"/>
    <w:rsid w:val="00983BF6"/>
    <w:rsid w:val="0098413A"/>
    <w:rsid w:val="009D30F4"/>
    <w:rsid w:val="009D683D"/>
    <w:rsid w:val="009E2275"/>
    <w:rsid w:val="009F2930"/>
    <w:rsid w:val="009F3E4C"/>
    <w:rsid w:val="00A0109C"/>
    <w:rsid w:val="00A51E4D"/>
    <w:rsid w:val="00A6233D"/>
    <w:rsid w:val="00AD5E0E"/>
    <w:rsid w:val="00AF27E9"/>
    <w:rsid w:val="00B00968"/>
    <w:rsid w:val="00B161ED"/>
    <w:rsid w:val="00B325C7"/>
    <w:rsid w:val="00B56C98"/>
    <w:rsid w:val="00B87C26"/>
    <w:rsid w:val="00BA5978"/>
    <w:rsid w:val="00BB748A"/>
    <w:rsid w:val="00C36728"/>
    <w:rsid w:val="00C62C0B"/>
    <w:rsid w:val="00C829C4"/>
    <w:rsid w:val="00CA37F7"/>
    <w:rsid w:val="00CB4470"/>
    <w:rsid w:val="00CD1EA8"/>
    <w:rsid w:val="00CD29DB"/>
    <w:rsid w:val="00CD493D"/>
    <w:rsid w:val="00CE5A63"/>
    <w:rsid w:val="00CE5B2C"/>
    <w:rsid w:val="00D052EF"/>
    <w:rsid w:val="00D104D0"/>
    <w:rsid w:val="00D52989"/>
    <w:rsid w:val="00D66721"/>
    <w:rsid w:val="00D70E2F"/>
    <w:rsid w:val="00D83A34"/>
    <w:rsid w:val="00D84791"/>
    <w:rsid w:val="00DB096C"/>
    <w:rsid w:val="00DB6497"/>
    <w:rsid w:val="00DD1DC7"/>
    <w:rsid w:val="00E12360"/>
    <w:rsid w:val="00E22A0F"/>
    <w:rsid w:val="00E2432E"/>
    <w:rsid w:val="00E3382A"/>
    <w:rsid w:val="00E44658"/>
    <w:rsid w:val="00E4772F"/>
    <w:rsid w:val="00E56FD5"/>
    <w:rsid w:val="00E80D10"/>
    <w:rsid w:val="00EE3B47"/>
    <w:rsid w:val="00EF6494"/>
    <w:rsid w:val="00F10D89"/>
    <w:rsid w:val="00F13B9E"/>
    <w:rsid w:val="00F30E25"/>
    <w:rsid w:val="00F61A56"/>
    <w:rsid w:val="00FA299E"/>
    <w:rsid w:val="00FA6B47"/>
    <w:rsid w:val="00FB29CA"/>
    <w:rsid w:val="00FC3B38"/>
    <w:rsid w:val="00FC5746"/>
    <w:rsid w:val="00FD0073"/>
    <w:rsid w:val="00FE6FFE"/>
    <w:rsid w:val="03440310"/>
    <w:rsid w:val="05D9B1B0"/>
    <w:rsid w:val="06ED9CC6"/>
    <w:rsid w:val="090A8C8E"/>
    <w:rsid w:val="0C02AF7F"/>
    <w:rsid w:val="0E0DBCAE"/>
    <w:rsid w:val="0E26B89C"/>
    <w:rsid w:val="0EA3571A"/>
    <w:rsid w:val="1003FBD5"/>
    <w:rsid w:val="1142B2F9"/>
    <w:rsid w:val="125C2B0A"/>
    <w:rsid w:val="14849087"/>
    <w:rsid w:val="14849334"/>
    <w:rsid w:val="16645ED9"/>
    <w:rsid w:val="19D4B8D1"/>
    <w:rsid w:val="1FD6CEEA"/>
    <w:rsid w:val="218A0FCC"/>
    <w:rsid w:val="232FB2FD"/>
    <w:rsid w:val="260C2394"/>
    <w:rsid w:val="2AA7FD20"/>
    <w:rsid w:val="2CBBEA48"/>
    <w:rsid w:val="2DFBA95D"/>
    <w:rsid w:val="310C8252"/>
    <w:rsid w:val="31262270"/>
    <w:rsid w:val="3E33FE84"/>
    <w:rsid w:val="3F1BE7F8"/>
    <w:rsid w:val="408ED40E"/>
    <w:rsid w:val="4394E293"/>
    <w:rsid w:val="44C65A03"/>
    <w:rsid w:val="45473D56"/>
    <w:rsid w:val="46F48FD8"/>
    <w:rsid w:val="4AFE6A16"/>
    <w:rsid w:val="4D9CD521"/>
    <w:rsid w:val="53925487"/>
    <w:rsid w:val="5928E03D"/>
    <w:rsid w:val="598A3B70"/>
    <w:rsid w:val="5CE71A8D"/>
    <w:rsid w:val="61A74C01"/>
    <w:rsid w:val="64CBC80A"/>
    <w:rsid w:val="65887E4F"/>
    <w:rsid w:val="662D8882"/>
    <w:rsid w:val="6A4E9C05"/>
    <w:rsid w:val="6CFF352F"/>
    <w:rsid w:val="73A67639"/>
    <w:rsid w:val="74869FC3"/>
    <w:rsid w:val="74AB1B48"/>
    <w:rsid w:val="77CB7463"/>
    <w:rsid w:val="789DD3A4"/>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FB540"/>
  <w15:chartTrackingRefBased/>
  <w15:docId w15:val="{E3B9EC00-6D90-410B-9FF0-98BA10DEA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6D4981"/>
  </w:style>
  <w:style w:type="paragraph" w:styleId="Pealkiri1">
    <w:name w:val="heading 1"/>
    <w:basedOn w:val="Normaallaad"/>
    <w:next w:val="Normaallaad"/>
    <w:link w:val="Pealkiri1Mrk"/>
    <w:uiPriority w:val="9"/>
    <w:qFormat/>
    <w:rsid w:val="0047377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unhideWhenUsed/>
    <w:qFormat/>
    <w:rsid w:val="0047377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473774"/>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473774"/>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473774"/>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473774"/>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73774"/>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73774"/>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73774"/>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73774"/>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rsid w:val="00473774"/>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473774"/>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473774"/>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473774"/>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473774"/>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73774"/>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73774"/>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73774"/>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737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73774"/>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73774"/>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73774"/>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73774"/>
    <w:pPr>
      <w:spacing w:before="160"/>
      <w:jc w:val="center"/>
    </w:pPr>
    <w:rPr>
      <w:i/>
      <w:iCs/>
      <w:color w:val="404040" w:themeColor="text1" w:themeTint="BF"/>
    </w:rPr>
  </w:style>
  <w:style w:type="character" w:customStyle="1" w:styleId="TsitaatMrk">
    <w:name w:val="Tsitaat Märk"/>
    <w:basedOn w:val="Liguvaikefont"/>
    <w:link w:val="Tsitaat"/>
    <w:uiPriority w:val="29"/>
    <w:rsid w:val="00473774"/>
    <w:rPr>
      <w:i/>
      <w:iCs/>
      <w:color w:val="404040" w:themeColor="text1" w:themeTint="BF"/>
    </w:rPr>
  </w:style>
  <w:style w:type="paragraph" w:styleId="Loendilik">
    <w:name w:val="List Paragraph"/>
    <w:basedOn w:val="Normaallaad"/>
    <w:uiPriority w:val="34"/>
    <w:qFormat/>
    <w:rsid w:val="00473774"/>
    <w:pPr>
      <w:ind w:left="720"/>
      <w:contextualSpacing/>
    </w:pPr>
  </w:style>
  <w:style w:type="character" w:styleId="Selgeltmrgatavrhutus">
    <w:name w:val="Intense Emphasis"/>
    <w:basedOn w:val="Liguvaikefont"/>
    <w:uiPriority w:val="21"/>
    <w:qFormat/>
    <w:rsid w:val="00473774"/>
    <w:rPr>
      <w:i/>
      <w:iCs/>
      <w:color w:val="0F4761" w:themeColor="accent1" w:themeShade="BF"/>
    </w:rPr>
  </w:style>
  <w:style w:type="paragraph" w:styleId="Selgeltmrgatavtsitaat">
    <w:name w:val="Intense Quote"/>
    <w:basedOn w:val="Normaallaad"/>
    <w:next w:val="Normaallaad"/>
    <w:link w:val="SelgeltmrgatavtsitaatMrk"/>
    <w:uiPriority w:val="30"/>
    <w:qFormat/>
    <w:rsid w:val="0047377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473774"/>
    <w:rPr>
      <w:i/>
      <w:iCs/>
      <w:color w:val="0F4761" w:themeColor="accent1" w:themeShade="BF"/>
    </w:rPr>
  </w:style>
  <w:style w:type="character" w:styleId="Selgeltmrgatavviide">
    <w:name w:val="Intense Reference"/>
    <w:basedOn w:val="Liguvaikefont"/>
    <w:uiPriority w:val="32"/>
    <w:qFormat/>
    <w:rsid w:val="00473774"/>
    <w:rPr>
      <w:b/>
      <w:bCs/>
      <w:smallCaps/>
      <w:color w:val="0F4761" w:themeColor="accent1" w:themeShade="BF"/>
      <w:spacing w:val="5"/>
    </w:rPr>
  </w:style>
  <w:style w:type="table" w:styleId="Kontuurtabel">
    <w:name w:val="Table Grid"/>
    <w:basedOn w:val="Normaaltabel"/>
    <w:rsid w:val="004737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perlink">
    <w:name w:val="Hyperlink"/>
    <w:basedOn w:val="Liguvaikefont"/>
    <w:uiPriority w:val="99"/>
    <w:unhideWhenUsed/>
    <w:rsid w:val="00473774"/>
    <w:rPr>
      <w:color w:val="467886" w:themeColor="hyperlink"/>
      <w:u w:val="single"/>
    </w:rPr>
  </w:style>
  <w:style w:type="paragraph" w:styleId="Redaktsioon">
    <w:name w:val="Revision"/>
    <w:hidden/>
    <w:uiPriority w:val="99"/>
    <w:semiHidden/>
    <w:rsid w:val="005C249F"/>
    <w:pPr>
      <w:spacing w:after="0" w:line="240" w:lineRule="auto"/>
    </w:pPr>
  </w:style>
  <w:style w:type="character" w:styleId="Kommentaariviide">
    <w:name w:val="annotation reference"/>
    <w:basedOn w:val="Liguvaikefont"/>
    <w:uiPriority w:val="99"/>
    <w:semiHidden/>
    <w:unhideWhenUsed/>
    <w:rsid w:val="005C249F"/>
    <w:rPr>
      <w:sz w:val="16"/>
      <w:szCs w:val="16"/>
    </w:rPr>
  </w:style>
  <w:style w:type="paragraph" w:styleId="Kommentaaritekst">
    <w:name w:val="annotation text"/>
    <w:basedOn w:val="Normaallaad"/>
    <w:link w:val="KommentaaritekstMrk"/>
    <w:uiPriority w:val="99"/>
    <w:unhideWhenUsed/>
    <w:rsid w:val="005C249F"/>
    <w:pPr>
      <w:spacing w:line="240" w:lineRule="auto"/>
    </w:pPr>
    <w:rPr>
      <w:sz w:val="20"/>
      <w:szCs w:val="20"/>
    </w:rPr>
  </w:style>
  <w:style w:type="character" w:customStyle="1" w:styleId="KommentaaritekstMrk">
    <w:name w:val="Kommentaari tekst Märk"/>
    <w:basedOn w:val="Liguvaikefont"/>
    <w:link w:val="Kommentaaritekst"/>
    <w:uiPriority w:val="99"/>
    <w:rsid w:val="005C249F"/>
    <w:rPr>
      <w:sz w:val="20"/>
      <w:szCs w:val="20"/>
    </w:rPr>
  </w:style>
  <w:style w:type="paragraph" w:styleId="Kommentaariteema">
    <w:name w:val="annotation subject"/>
    <w:basedOn w:val="Kommentaaritekst"/>
    <w:next w:val="Kommentaaritekst"/>
    <w:link w:val="KommentaariteemaMrk"/>
    <w:uiPriority w:val="99"/>
    <w:semiHidden/>
    <w:unhideWhenUsed/>
    <w:rsid w:val="005C249F"/>
    <w:rPr>
      <w:b/>
      <w:bCs/>
    </w:rPr>
  </w:style>
  <w:style w:type="character" w:customStyle="1" w:styleId="KommentaariteemaMrk">
    <w:name w:val="Kommentaari teema Märk"/>
    <w:basedOn w:val="KommentaaritekstMrk"/>
    <w:link w:val="Kommentaariteema"/>
    <w:uiPriority w:val="99"/>
    <w:semiHidden/>
    <w:rsid w:val="005C249F"/>
    <w:rPr>
      <w:b/>
      <w:bCs/>
      <w:sz w:val="20"/>
      <w:szCs w:val="20"/>
    </w:rPr>
  </w:style>
  <w:style w:type="character" w:styleId="Lahendamatamainimine">
    <w:name w:val="Unresolved Mention"/>
    <w:basedOn w:val="Liguvaikefont"/>
    <w:uiPriority w:val="99"/>
    <w:semiHidden/>
    <w:unhideWhenUsed/>
    <w:rsid w:val="001C6919"/>
    <w:rPr>
      <w:color w:val="605E5C"/>
      <w:shd w:val="clear" w:color="auto" w:fill="E1DFDD"/>
    </w:rPr>
  </w:style>
  <w:style w:type="character" w:styleId="Klastatudhperlink">
    <w:name w:val="FollowedHyperlink"/>
    <w:basedOn w:val="Liguvaikefont"/>
    <w:uiPriority w:val="99"/>
    <w:semiHidden/>
    <w:unhideWhenUsed/>
    <w:rsid w:val="00542A8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0515750">
      <w:bodyDiv w:val="1"/>
      <w:marLeft w:val="0"/>
      <w:marRight w:val="0"/>
      <w:marTop w:val="0"/>
      <w:marBottom w:val="0"/>
      <w:divBdr>
        <w:top w:val="none" w:sz="0" w:space="0" w:color="auto"/>
        <w:left w:val="none" w:sz="0" w:space="0" w:color="auto"/>
        <w:bottom w:val="none" w:sz="0" w:space="0" w:color="auto"/>
        <w:right w:val="none" w:sz="0" w:space="0" w:color="auto"/>
      </w:divBdr>
      <w:divsChild>
        <w:div w:id="606036940">
          <w:marLeft w:val="0"/>
          <w:marRight w:val="0"/>
          <w:marTop w:val="0"/>
          <w:marBottom w:val="0"/>
          <w:divBdr>
            <w:top w:val="none" w:sz="0" w:space="0" w:color="auto"/>
            <w:left w:val="none" w:sz="0" w:space="0" w:color="auto"/>
            <w:bottom w:val="none" w:sz="0" w:space="0" w:color="auto"/>
            <w:right w:val="none" w:sz="0" w:space="0" w:color="auto"/>
          </w:divBdr>
        </w:div>
        <w:div w:id="1467042148">
          <w:marLeft w:val="0"/>
          <w:marRight w:val="0"/>
          <w:marTop w:val="0"/>
          <w:marBottom w:val="0"/>
          <w:divBdr>
            <w:top w:val="none" w:sz="0" w:space="0" w:color="auto"/>
            <w:left w:val="none" w:sz="0" w:space="0" w:color="auto"/>
            <w:bottom w:val="none" w:sz="0" w:space="0" w:color="auto"/>
            <w:right w:val="none" w:sz="0" w:space="0" w:color="auto"/>
          </w:divBdr>
        </w:div>
      </w:divsChild>
    </w:div>
    <w:div w:id="1194345828">
      <w:bodyDiv w:val="1"/>
      <w:marLeft w:val="0"/>
      <w:marRight w:val="0"/>
      <w:marTop w:val="0"/>
      <w:marBottom w:val="0"/>
      <w:divBdr>
        <w:top w:val="none" w:sz="0" w:space="0" w:color="auto"/>
        <w:left w:val="none" w:sz="0" w:space="0" w:color="auto"/>
        <w:bottom w:val="none" w:sz="0" w:space="0" w:color="auto"/>
        <w:right w:val="none" w:sz="0" w:space="0" w:color="auto"/>
      </w:divBdr>
      <w:divsChild>
        <w:div w:id="975993024">
          <w:marLeft w:val="0"/>
          <w:marRight w:val="0"/>
          <w:marTop w:val="0"/>
          <w:marBottom w:val="0"/>
          <w:divBdr>
            <w:top w:val="none" w:sz="0" w:space="0" w:color="auto"/>
            <w:left w:val="none" w:sz="0" w:space="0" w:color="auto"/>
            <w:bottom w:val="none" w:sz="0" w:space="0" w:color="auto"/>
            <w:right w:val="none" w:sz="0" w:space="0" w:color="auto"/>
          </w:divBdr>
        </w:div>
        <w:div w:id="17933557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tja.ee/must-nimekiri" TargetMode="External"/><Relationship Id="rId13" Type="http://schemas.openxmlformats.org/officeDocument/2006/relationships/hyperlink" Target="mailto:aapandreas.rebas@ttja.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ess@ttja.ee"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ttja.ee/must-nimekiri"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ttja.ee/eraklient/ametist/lisainfo-ja-dokumendid/uuringud" TargetMode="External"/><Relationship Id="rId4" Type="http://schemas.openxmlformats.org/officeDocument/2006/relationships/numbering" Target="numbering.xml"/><Relationship Id="rId9" Type="http://schemas.openxmlformats.org/officeDocument/2006/relationships/hyperlink" Target="https://jvis.ttja.ee/modules/tarbijavaidluskomisjoni-otsused/mustnimekiri" TargetMode="External"/><Relationship Id="rId1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39EA55D3F51264A95C04F2F89656117" ma:contentTypeVersion="3" ma:contentTypeDescription="Loo uus dokument" ma:contentTypeScope="" ma:versionID="4ef0a34da9420a3482f59e23cecbe4c3">
  <xsd:schema xmlns:xsd="http://www.w3.org/2001/XMLSchema" xmlns:xs="http://www.w3.org/2001/XMLSchema" xmlns:p="http://schemas.microsoft.com/office/2006/metadata/properties" xmlns:ns2="f4e3a2ee-5cfd-481e-a57f-f0fec14c32d0" targetNamespace="http://schemas.microsoft.com/office/2006/metadata/properties" ma:root="true" ma:fieldsID="08ecc37fdc160765b8c5fca8372c7376" ns2:_="">
    <xsd:import namespace="f4e3a2ee-5cfd-481e-a57f-f0fec14c32d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e3a2ee-5cfd-481e-a57f-f0fec14c32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BABB7D8-7520-4249-83B2-2022E55697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e3a2ee-5cfd-481e-a57f-f0fec14c32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9296092-44C7-47B2-B266-4B516D92B8B3}">
  <ds:schemaRefs>
    <ds:schemaRef ds:uri="http://schemas.microsoft.com/sharepoint/v3/contenttype/forms"/>
  </ds:schemaRefs>
</ds:datastoreItem>
</file>

<file path=customXml/itemProps3.xml><?xml version="1.0" encoding="utf-8"?>
<ds:datastoreItem xmlns:ds="http://schemas.openxmlformats.org/officeDocument/2006/customXml" ds:itemID="{22BA2A31-F860-4D47-B409-AFB5180D71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7</Pages>
  <Words>2241</Words>
  <Characters>13002</Characters>
  <Application>Microsoft Office Word</Application>
  <DocSecurity>0</DocSecurity>
  <Lines>108</Lines>
  <Paragraphs>30</Paragraphs>
  <ScaleCrop>false</ScaleCrop>
  <HeadingPairs>
    <vt:vector size="2" baseType="variant">
      <vt:variant>
        <vt:lpstr>Pealkiri</vt:lpstr>
      </vt:variant>
      <vt:variant>
        <vt:i4>1</vt:i4>
      </vt:variant>
    </vt:vector>
  </HeadingPairs>
  <TitlesOfParts>
    <vt:vector size="1" baseType="lpstr">
      <vt:lpstr/>
    </vt:vector>
  </TitlesOfParts>
  <Company>KeMIT</Company>
  <LinksUpToDate>false</LinksUpToDate>
  <CharactersWithSpaces>15213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Britt-Heleen Kandimaa</dc:creator>
  <cp:keywords/>
  <dc:description/>
  <cp:lastModifiedBy>Aap Andreas Rebas - TTJA</cp:lastModifiedBy>
  <cp:revision>6</cp:revision>
  <dcterms:created xsi:type="dcterms:W3CDTF">2026-01-27T09:59:00Z</dcterms:created>
  <dcterms:modified xsi:type="dcterms:W3CDTF">2026-01-30T08:54:00Z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2026-01-14T08:05:36Z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3a5a74b4-6437-4037-bbbb-40fa23d19d13</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0x010100039EA55D3F51264A95C04F2F89656117</vt:lpwstr>
  </property>
</Properties>
</file>